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253/2013 vom 1. November 2013</w:t>
      </w:r>
    </w:p>
    <w:p>
      <w:r>
        <w:t>Bundesgericht, 2013-11-01, FR</w:t>
      </w:r>
    </w:p>
    <w:p>
      <w:r>
        <w:rPr>
          <w:b/>
        </w:rPr>
        <w:t xml:space="preserve">Quelle: </w:t>
      </w:r>
      <w:r>
        <w:t>https://mcp.opencaselaw.ch/entscheid/bger_1C_253_2013</w:t>
      </w:r>
    </w:p>
    <w:p>
      <w:r>
        <w:t>FR: TF 1C 253/2013 du 1 novembre 2013</w:t>
      </w:r>
    </w:p>
    <w:p>
      <w:r>
        <w:t>IT: TF 1C 253/2013 del 1 novembre 2013</w:t>
      </w:r>
    </w:p>
    <w:p>
      <w:pPr>
        <w:pStyle w:val="Heading2"/>
      </w:pPr>
      <w:r>
        <w:t>Regeste</w:t>
      </w:r>
    </w:p>
    <w:p>
      <w:r>
        <w:t>Modification du règlement général relatif aux plans d'utilisation du sol de la Ville de Genève | Aménagement du territoire et droit public des constructions</w:t>
      </w:r>
    </w:p>
    <w:p>
      <w:pPr>
        <w:pStyle w:val="Heading2"/>
      </w:pPr>
      <w:r>
        <w:t>Erwägungen</w:t>
      </w:r>
    </w:p>
    <w:p>
      <w:r>
        <w:rPr>
          <w:b/>
        </w:rPr>
        <w:t>E. 1.1</w:t>
      </w:r>
    </w:p>
    <w:p>
      <w:r>
        <w:t>Compte tenu de leur connexité, il se justifie de joindre les deux recours, dirigés contre une même décision, afin de statuer en un seul arrêt.</w:t>
      </w:r>
    </w:p>
    <w:p>
      <w:r>
        <w:rPr>
          <w:b/>
        </w:rPr>
        <w:t>E. 1.2</w:t>
      </w:r>
    </w:p>
    <w:p>
      <w:r>
        <w:t>Les recours sont dirigés contre un arrêt rendu en dernière instance cantonale confirmant une décision d'approbation d'un règlement communal relatif à un plan d'affectation, au sens des art. 14 ss de la loi fédérale du 22 juin 1979 sur l'aménagement du territoire (LAT; RS 700). Les recours sont dès lors en principe recevables comme recours en matière de droit public selon les art. 82 ss LTF et 34 al. 1 LAT, aucune des exceptions prévues à l' art. 83 LTF n'étant réalisée.</w:t>
      </w:r>
    </w:p>
    <w:p>
      <w:r>
        <w:rPr>
          <w:b/>
        </w:rPr>
        <w:t>E. 1.3</w:t>
      </w:r>
    </w:p>
    <w:p>
      <w:r>
        <w:t>En vertu de l' art. 89 al. 2 let . c LTF, les communes ont qualité pour recourir lorsqu'elles invoquent la violation de garanties qui leur sont reconnues par les Constitutions cantonales ou fédérale. La Ville de Genève, qui invoque l'autonomie dont elle bénéficie en matière d'élaboration des plans d'utilisation du sol, a ainsi qualité pour agir. La question de savoir si elle est réellement autonome dans ces domaines relève du fond ( ATF 135 I 43 consid. 1.2 p. 45; 129 I 313 consid. 4.2 p. 319 et les références).</w:t>
      </w:r>
    </w:p>
    <w:p>
      <w:r>
        <w:rPr>
          <w:b/>
        </w:rPr>
        <w:t>E. 1.4.1</w:t>
      </w:r>
    </w:p>
    <w:p>
      <w:r>
        <w:t>En vertu de l' art. 89 al. 1 LTF , peut former un recours en matière de droit public quiconque est particulièrement atteint par la décision attaquée (let. b) et a un intérêt digne de protection à son annulation ou à sa modification (let. c). En matière de plans d'affectation, le recourant doit faire valoir la violation de dispositions qui tendent non seulement à la sauvegarde des intérêts de la collectivité mais aussi, si ce n'est principalement, à la protection de ses propres intérêts ( ATF 114 Ia 378 consid. 4 p. 379); il doit en outre être personnellement touché par les effets prétendument illicites de la décision attaquée. Le droit de recours n'est ainsi reconnu en règle générale qu'au propriétaire d'un bien-fonds, pour se plaindre que la mise en vigueur du plan porte atteinte à ses droits constitutionnels en réduisant à néant ou en modifiant la portée de règles destinées notamment à protéger ses intérêts, ou en restreignant l'utilisation de son bien (cf. ATF 133 II 249 consid. 1.3.1 p. 252). Une association a qualité pour recourir à titre personnel lorsqu'elle remplit les conditions posées par l' art. 89 al. 1 LTF . De même, conformément à la jurisprudence, sans être elle-même touchée par la décision entreprise, une association peut être admise à agir par la voie du recours en matière de droit public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 ATF 137 II 40 consid. 2.6.4 p. 46 s. et les arrêts cités).</w:t>
      </w:r>
    </w:p>
    <w:p>
      <w:r>
        <w:rPr>
          <w:b/>
        </w:rPr>
        <w:t>E. 1.4.2</w:t>
      </w:r>
    </w:p>
    <w:p>
      <w:r>
        <w:t>La Chambre genevoise immobilière a pour but statutaire la promotion, la représentation et la défense de la propriété foncière dans le canton de Genève; il est constant qu'un grand nombre de ses membres sont propriétaires fonciers à Genève. Dans son recours, la CGI se plaint que la modification de l'art. 9 RPUS restreindra le droit de propriété de ses membres, lesquels ne pourront plus décider librement de l'affectation de leurs locaux. L'intéressée a dès lors un intérêt digne de protection à l'annulation ou la modification du règlement incriminé et la qualité pour recourir doit lui être reconnue. La question de la légitimation des autres recourants peut ainsi rester indécise, comme elle l'a été devant la Cour de justice.</w:t>
      </w:r>
    </w:p>
    <w:p>
      <w:r>
        <w:rPr>
          <w:b/>
        </w:rPr>
        <w:t>E. 1.5</w:t>
      </w:r>
    </w:p>
    <w:p>
      <w:r>
        <w:t>Les autres conditions de recevabilité sont remplies si bien qu'il y a lieu d'entrer en matière sur les recours.</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135 I 43 consid. 1.2 p. 45; 133 I 128 consid. 3.1 p. 131 et les arrêts cités).</w:t>
      </w:r>
    </w:p>
    <w:p>
      <w:r>
        <w:rPr>
          <w:b/>
        </w:rPr>
        <w:t>E. 2.2</w:t>
      </w:r>
    </w:p>
    <w:p>
      <w:r>
        <w:t>Dans le canton de Genève, les communes ne peuvent se prévaloir d'aucune autonomie en matière de police des constructions, le Département cantonal de l'urbanisme étant compétent pour délivrer les autorisations de construire (arrêt 1C_523/2009 du 12 mars 2010 consid. 2.1, publié in RDAF 2010 I 244 et in SJ 2010 I 474). En revanche, les communes genevoises sont compétentes en matière de plans d'utilisation du sol (PUS). En effet, l'art. 15A de la loi cantonale du 9 mars 1929 sur l'extension des voies de communication et l'aménagement des quartiers ou localités (LExt) prévoit que les communes élaborent en collaboration avec l'Etat et adoptent des plans d'utilisation du sol approuvés par leur conseil municipal (al. 1 in fine). Dans ce domaine, le conseil municipal de la commune doit non seulement délivrer un préavis, comme pour les autres plans d'affectation, mais approuver cette catégorie de plans. La Ville de Genève peut dès lors invoquer son autonomie communale dans le cas particulier.</w:t>
      </w:r>
    </w:p>
    <w:p>
      <w:r>
        <w:rPr>
          <w:b/>
        </w:rPr>
        <w:t>E. 2.3</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 ATF 128 I 3 consid. 2b p. 9; 126 I 133 consid. 2 p. 136).</w:t>
      </w:r>
    </w:p>
    <w:p>
      <w:r>
        <w:rPr>
          <w:b/>
        </w:rPr>
        <w:t>E. 3</w:t>
      </w:r>
    </w:p>
    <w:p>
      <w:r>
        <w:t>La Ville de Genève reproche à la Cour de justice d'avoir retenu que l'art. 9 al. 4 RPUS n'était pas compatible avec la liberté économique et s'attache à démontrer que cette disposition n'instaure pas une mesure de politique économique. La CGI et consorts estiment pour leur part que les nouveaux al. 3 et 5 de l'art. 9 RPUS consacrent une atteinte inadmissible à la liberté économique et à la garantie de la propriété.</w:t>
      </w:r>
    </w:p>
    <w:p>
      <w:r>
        <w:rPr>
          <w:b/>
        </w:rPr>
        <w:t>E. 3.1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1er et 3 LAT ). Le Tribunal fédéral examine librement si les mesures d'aménagement du territoire répondent à un intérêt public et respectent le principe de la proportionnalité; il s'impose toutefois une certaine retenue lorsqu'il s'agit de tenir compte de circonstances locales, mieux connues des autorités cantonales, ou de trancher de pures questions d'appréciation ( ATF 132 II 408 consid. 4.3 p. 415 et les arrêts cités).</w:t>
      </w:r>
    </w:p>
    <w:p>
      <w:r>
        <w:rPr>
          <w:b/>
        </w:rPr>
        <w:t>E. 3.2</w:t>
      </w:r>
    </w:p>
    <w:p>
      <w:r>
        <w:t>Selon l' art. 27 al. 1 Cst. , la liberté économique est garantie. Elle comprend le libre choix de la profession, le libre accès à une activité économique lucrative privée et son libre exercice ( art. 27 al. 2 Cst. ). Elle protège toute activité économique privée, exercée à titre professionnel et tendant à la production d'un gain ou d'un revenu. Elle peut être invoquée tant par les personnes physiques que par les personnes morales ( ATF 135 I 130 consid. 4.2 p. 135 et les arrêts cités). Comme n'importe quel droit constitutionnel, la liberté économique peut être restreinte aux conditions de l' art. 36 Cst. (base légale, intérêt public et proportionnalité). Sont ainsi autorisées les restrictions à la liberté économique reposant sur des mesures de police, des mesures de politique sociale ou des mesures dictées par la réalisation d'autres intérêts publics ( ATF 125 I 322 consid. 3a p. 326). Sont en revanche prohibées les mesures de politique économique ou de protection d'une profession qui entravent la libre concurrence en vue de favoriser certaines branches professionnelles ou certaines formes d'exploitation ( ATF 131 I 223 consid. 4.2 p. 231 s.; 130 I 26 consid. 6.3.3.1 p. 53; 125 I 209 consid. 10a p. 221 et les arrêts cités).</w:t>
      </w:r>
    </w:p>
    <w:p>
      <w:r>
        <w:rPr>
          <w:b/>
        </w:rPr>
        <w:t>E. 3.3</w:t>
      </w:r>
    </w:p>
    <w:p>
      <w:r>
        <w:t>La garantie de la propriété ancrée à l' art. 26 al. 1 Cst. n'est pas absolue. Comme tout droit fondamental, elle peut être restreinte aux conditions fixées à l' art. 36 Cst.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 La jurisprudence considère par exemple que les mesures de conservation ou de protection du patrimoine bâti constituent une limitation traditionnelle du droit de propriété; en règle générale, elles ne portent pas d'atteinte très grave à celui-ci (cf. ATF 126 I 219 consid. 2c p. 221; 118 Ia 384 consid. 4a p. 387; 112 Ib 263 consid. 4 p. 266 s. et les arrêts cités).</w:t>
      </w:r>
    </w:p>
    <w:p>
      <w:r>
        <w:rPr>
          <w:b/>
        </w:rPr>
        <w:t>E. 4</w:t>
      </w:r>
    </w:p>
    <w:p>
      <w:r>
        <w:t>En l'espèce, la CGI et consorts sont d'avis que l'art. 9 al. 3 RPUS constitue une mesure de politique économique, intervenant dans la libre concurrence pour favoriser certaines branches d'activité. Cette disposition ferait bénéficier certaines activités dites d'animation d'avantages commerciaux non négligeables, au détriment des autres commerces. Les activités n'entrant pas dans la définition d'animation au sens du RPUS seraient par ailleurs privées d'accès à un nombre important de locaux commerciaux. Se plaignant par ailleurs d'une violation de la garantie de la propriété, les recourants font valoir que les mesures litigieuses ne permettent pas d'atteindre le but visé.</w:t>
      </w:r>
    </w:p>
    <w:p>
      <w:r>
        <w:rPr>
          <w:b/>
        </w:rPr>
        <w:t>E. 4.1</w:t>
      </w:r>
    </w:p>
    <w:p>
      <w:r>
        <w:t>Conformément aux art. 15A ss LExt, le RPUS a pour but, en vue de favoriser la qualité de vie en ville, de maintenir et rétablir l'habitat, tout en facilitant une implantation harmonieuse des activités qui garantisse le mieux possible l'espace habitable (art. 1 RPUS). A cet égard, le Tribunal fédéral a jugé qu'il était d'intérêt public d'encourager une certaine diversité des activités dans l'agglomération urbaine, ce qui impliquait concrètement de protéger les branches menacées (cf. arrêt 1C_317/2009 du 15 janvier 2010 consid. 9.2). De même, il a considéré qu'une nouvelle réglementation était admissible même si elle pouvait avoir des répercussions susceptibles d'être qualifiées de politique économique, par exemple en favorisant une catégorie d'entreprises par rapport à d'autres, pour autant que l'objectif principal relève de l'aménagement du territoire (arrêt 1C_453/2007 du 10 mars 2008 consid. 8.2). Enfin, l'obligation de réserver une partie d'un bâtiment à une affectation déterminée ne constitue pas une atteinte grave au droit de propriété et à la liberté économique ( ATF 115 Ia 378 consid. 3b/bb p. 380).</w:t>
      </w:r>
    </w:p>
    <w:p>
      <w:r>
        <w:rPr>
          <w:b/>
        </w:rPr>
        <w:t>E. 4.2</w:t>
      </w:r>
    </w:p>
    <w:p>
      <w:r>
        <w:t>La Ville de Genève indique que c'est pour rétablir une harmonie et assurer un équilibre dans les activités exercées au centre-ville, au rez-de-chaussée des immeubles, que certains grands axes ont fait l'objet des dispositions spécifiques du RPUS; les mesures litigieuses permettraient de maintenir l'animation et la population au centre et d'éviter ainsi les déplacements pendulaires. Il est en effet constant que les lieux de rencontre et d'animation du centre-ville, qui demeurent ouverts après les horaires administratifs, tendent à disparaître au profit d'activités commerciales dont l'activité ne s'étend pas au-delà de 19h00. Au demeurant, les commerces d'alimentation se font rares au centre-ville et ceux-ci sont nécessaires pour assurer l'approvisionnement de la population. Sur la base de ces éléments, qui ne sont pas remis en cause par les recourants, il apparaît que la Cour de justice pouvait, à bon droit, considérer que les mesures prévues par l'art. 9 al. 3 RPUS poursuivent un intérêt public reconnu et conforme aux objectifs de l'art. 15 al. 1 LExt, qui sont de favoriser une implantation des activités qui soit harmonieuse et équilibrée. C'est donc en vain que la CGI et consorts font valoir qu'il s'agirait de mesures de politique économique, qui viseraient à favoriser certaines branches d'activité par rapport à d'autres. Il est en effet indéniable que l'objectif recherché par la modification litigieuse relève de l'aménagement du territoire, puisqu'il s'agit de favoriser un équilibre des activités et de garantir un approvisionnement suffisant de la population (cf. art. 1 al. 2 LAT ). Au surplus, les intéressés contestent que les mesures préconisées sont aptes à atteindre le but visé et proportionnées. Or, comme il ressort de l'arrêt attaqué, une partie des établissements auxquels se réfère la disposition litigieuse contribue effectivement à l'animation en dehors des heures d'ouverture des bureaux et des commerces et participe ainsi à l'animation nocturne et dominicale. Il s'agit notamment des cafés, restaurants, théâtres, cinémas, salles de concert, ce que les recourants ne prennent pas en compte lorsqu'ils tentent de démontrer que certaines activités, comme des enseignes de grande distribution (Payot, Globus, FNAC, etc.), contribuent plus à l'animation du centre-ville que celles visées par l'art. 9 al. 3 RPUS. A cela s'ajoute que la viabilité des établissements concernés est prise en compte dans l'application de l'obligation du maintien de l'affectation et ces mesures ne s'appliquent pas à tous les bâtiments de la ville. Enfin, par l'utilisation des termes "en général", la disposition laisse à l'autorité d'application une certaine marge d'appréciation. Au vu de ce qui précède, l'éventuelle inégalité de traitement entre concurrents induite par les modifications litigieuses est compatible avec l' art. 36 Cst. Partant, l'art. 9 al. 3 RPUS ne consacre pas une atteinte inadmissible à la liberté économique et à la garantie de la propriété. Le recours 1C_259/2013 doit être rejeté sur ce point.</w:t>
      </w:r>
    </w:p>
    <w:p>
      <w:r>
        <w:rPr>
          <w:b/>
        </w:rPr>
        <w:t>E. 5</w:t>
      </w:r>
    </w:p>
    <w:p>
      <w:r>
        <w:t>La CGI et consorts invoquent encore le principe de la primauté du droit fédéral, faisant valoir que la dérogation prévue par l'art. 9 al. 5 RPUS s'avère clairement contraire au droit fédéral. Cette disposition permet de déroger au maintien des activités d'animation s'il est démontré que leur exploitation ne peut pas être poursuivie, pour d'autres motifs qu'une majoration de loyer excessive ou un prix d'acquisition disproportionné du bien immobilier ou du fonds de commerce. Les recourants estiment ainsi que l'art. 9 al. 5 RPUS poursuit exactement le même but que l' art. 271 CO , puisqu'il constitue un instrument de lutte contre les hausses abusives de loyers.</w:t>
      </w:r>
    </w:p>
    <w:p>
      <w:r>
        <w:rPr>
          <w:b/>
        </w:rPr>
        <w:t>E. 5.1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137 I 167 consid. 3.4 p. 174; 135 I 106 consid. 2.1 p. 108; 131 I 333 consid. 2.1 p. 335 et les arrêts cités).</w:t>
      </w:r>
    </w:p>
    <w:p>
      <w:r>
        <w:rPr>
          <w:b/>
        </w:rPr>
        <w:t>E. 5.2</w:t>
      </w:r>
    </w:p>
    <w:p>
      <w:r>
        <w:t>Le dispositif mis en place par l'art. 9 al. 5 RPUS est analogue à celui prévu pour les hôtels à l'art. 11 RPUS, dont la conformité au droit supérieur a déjà été approuvée par le Tribunal fédéral. Dans l'arrêt 1C_229/2009 du 15 janvier 2010, il a en effet été jugé que la disposition querellée n'empêchait pas les propriétaires de disposer de leur bien et que la marge d'appréciation laissée à l'administration pour vérifier que les conditions de la dérogation étaient remplies pouvait certes mener à des abus mais qu'il appartenait, cas échéant, à l'autorité judiciaire de les sanctionner (consid. 4.4 de l'arrêt précité). Quoi qu'il en soit, l'art. 9 al. 5 RPUS n'a pas pour objectif le contrôle des loyers et n'empiète dès lors pas sur l' art. 271 CO . Mal fondé, ce grief doit également être écarté. Le recours 1C_259/2013 est par conséquent entièrement rejeté.</w:t>
      </w:r>
    </w:p>
    <w:p>
      <w:r>
        <w:rPr>
          <w:b/>
        </w:rPr>
        <w:t>E. 6</w:t>
      </w:r>
    </w:p>
    <w:p>
      <w:r>
        <w:t>La Ville de Genève ne partage pas l'avis des juges cantonaux, selon lesquels l'art. 9 al. 4 RPUS porte atteinte à la liberté économique. Cette disposition prévoit que les commerces et les diverses catégories de magasins ouverts au public, au centre-ville, conservent ou changent leur activité afin d'améliorer et de développer la diversité de l'offre, le commerce de proximité et l'animation du centre-ville. La recourante estime qu'une rue contenant un seul et même type d'activités peut, à terme, poser des problèmes tant en lien avec un surcroît ou une absence d'animation que dans le cadre du ravitaillement de la population; les conséquences y relatives doivent être réglées par des dispositions d'aménagement du territoire. Lors de l'application de l'art. 9 al. 4 RPUS, la ville pourrait ainsi s'opposer à la réouverture d'un café ou d'un restaurant, ou d'une autre activité déjà offerte en abondance dans des secteurs bien définis, garantissant ainsi une diversité des services à la population, une répartition harmonieuse des activités au sein du territoire. Il apparaît tout d'abord que la disposition querellée est formulée de manière peu claire et est difficilement compréhensible (" Les commerces et les diverses catégories de magasins ouverts au public [...] conservent ou changent, selon, leur activité [...]). Par ailleurs, à la première lecture, on ne saisit pas bien les modalités de son application, en particulier quelle est la marge de manoeuvre des propriétaires concernés, le cadre imposé à l'autorité compétente et le moment où celle-ci doit intervenir. Même si l'on peut supposer que l'art. 9 al. 4 RPUS s'applique lors d'un changement de bail et peut, à cette occasion, contraindre le commerçant à changer ou maintenir une activité déterminée, l'imprécision du texte ne permet pas aux personnes concernées de prévoir, au moins dans les grandes lignes, la façon dont la disposition leur sera appliquée. Pour ce motif déjà, cette disposition ne peut pas être confirmée. Ensuite, comme le souligne l'arrêt attaqué, si la mesure litigieuse s'appliquait, un examen de la diversité de l'offre et du commerce de proximité devrait être fait par le département compétent en cas de demande de changement d'affectation d'une arcade. Cet examen suppose que l'autorité prévoie quel type de commerce serait, cas échéant, manquant dans l'offre existante ou encore lesquels seraient pléthoriques. Avec la Cour de justice, on peut relever que cette mesure, difficilement applicable, voire inapplicable, n'est à l'évidence pas neutre sur le plan économique et intervient directement sur la libre concurrence. En cela, elle doit être qualifiée de mesure de politique économique. Cette disposition n'est ainsi pas compatible avec la liberté économique ( ATF 132 I 97 consid. 3 p. 102) et son annulation doit par conséquent être confirmée. Partant, le recours 1C_253/2013 est rejeté.</w:t>
      </w:r>
    </w:p>
    <w:p>
      <w:r>
        <w:rPr>
          <w:b/>
        </w:rPr>
        <w:t>E. 7</w:t>
      </w:r>
    </w:p>
    <w:p>
      <w:r>
        <w:t>Il résulte de ce qui précède que les deux recours sont rejetés. Il n'est pas mis de frais à la charge de la Ville de Genève ( art. 66 al. 4 LTF ). Les recourants CGI et consorts, qui succombent, supportent leurs frais de justice ( art. 66 al. 1 et 5 LTF ). Dans la procédure 1C_253/2013, les intimés CGI et consorts obtiennent gain de cause avec l'assistance d'un avocat; ils ont droit à des dépens, à la charge de la Ville de Genève ( art. 68 al. 2 LTF ). Cette dernière n'a pas droit à des dépens dans la procédure 1C_259/2013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