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1C_253/2012 vom 29. August 2012</w:t>
      </w:r>
    </w:p>
    <w:p>
      <w:r>
        <w:t>Bundesgericht, 2012-08-29, DE</w:t>
      </w:r>
    </w:p>
    <w:p>
      <w:r>
        <w:rPr>
          <w:b/>
        </w:rPr>
        <w:t xml:space="preserve">Quelle: </w:t>
      </w:r>
      <w:r>
        <w:t>https://mcp.opencaselaw.ch/entscheid/bger_1C_253_2012</w:t>
      </w:r>
    </w:p>
    <w:p>
      <w:r>
        <w:t>FR: TF 1C_253/2012 du 29 août 2012</w:t>
      </w:r>
    </w:p>
    <w:p>
      <w:r>
        <w:t>IT: TF 1C_253/2012 del 29 agosto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Eine Unterschreitung der gesetzlichen Mindestentzugsdauern ist ausgeschlossen ( Art. 16 Abs. 3 SVG ).</w:t>
      </w:r>
    </w:p>
    <w:p>
      <w:r>
        <w:rPr>
          <w:b/>
        </w:rPr>
        <w:t>E. 2.2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w:t>
      </w:r>
    </w:p>
    <w:p>
      <w:r>
        <w:rPr>
          <w:b/>
        </w:rPr>
        <w:t>E. 3</w:t>
      </w:r>
    </w:p>
    <w:p>
      <w:r>
        <w:t>Der Beschwerdeführer rügt eine Verletzung seines rechtlichen Gehörs. Das Verwaltungsgericht sei davon ausgegangen, dass ihm die Sicherheitsdirektion die Rekursvernehmlassung des Strassenverkehrsamts vom 7. Januar 2011 nicht zugestellt und dadurch sein rechtliches Gehör verletzt habe. Es sei jedoch zu Unrecht zur Auffassung gelangt, diese Gehörsverletzung sei im verwaltungsgerichtlichen Verfahren geheilt worden.</w:t>
      </w:r>
    </w:p>
    <w:p>
      <w:r>
        <w:rPr>
          <w:b/>
        </w:rPr>
        <w:t>E. 3.1</w:t>
      </w:r>
    </w:p>
    <w:p>
      <w:r>
        <w:t>Die Verletzung des Anspruchs auf rechtliches Gehör führt in der Regel ohne Weiteres zur Aufhebung des angefochtenen Entscheids ( BGE 137 I 195 E. 2.2 mit Hinweisen). Wiegt die Verletzung indessen nicht besonders schwer, so kann sie im Verfahren vor einer Rechtsmittelinstanz mit freier Kognition hinsichtlich Sachverhalt und Rechtslage ausnahmsweise geheilt werden, soweit die Rückweisung zu einem formalistischen Leerlauf und damit zu einer unnötigen Verfahrensverzögerung führen würde, die mit dem Interesse der betroffenen Partei an einer beförderlichen Beurteilung der Sache nicht zu vereinbaren wären (BGE a.a.O. E. 2.3.2 S. 197 f. mit Hinweisen).</w:t>
      </w:r>
    </w:p>
    <w:p>
      <w:r>
        <w:rPr>
          <w:b/>
        </w:rPr>
        <w:t>E. 3.2</w:t>
      </w:r>
    </w:p>
    <w:p>
      <w:r>
        <w:t>Das Verwaltungsgericht führt im angefochtenen Entscheid (E. 2 S. 4) aus, die Gehörsverletzung wiege nicht schwer, da die betreffende Rekursvernehmlassung des Strassenverkehrsamts im Vergleich zu seiner Entzugsverfügung lediglich zwei ergänzende Bemerkungen bzw. Wiederholungen enthalte. Nachdem es diese dem Beschwerdeführer zur nachträglichen Stellungnahme zugestellt habe, könne sie als geheilt betrachtet werden, da es in dieser keine Ermessensfragen aufwerfenden Streitsache über die gleiche Kognition verfüge wie die Vorinstanz.</w:t>
      </w:r>
    </w:p>
    <w:p>
      <w:r>
        <w:rPr>
          <w:b/>
        </w:rPr>
        <w:t>E. 3.3</w:t>
      </w:r>
    </w:p>
    <w:p>
      <w:r>
        <w:t>In seiner umstrittenen Rekursvernehmlassung brachte das Strassenverkehrsamt keine neuen wesentlichen Gesichtspunkte ein, die geeignet gewesen wären, das Verfahren massgebend zu beeinflussen. Auch wenn die apodiktische Feststellung des Verwaltungsgerichts, im vorliegenden Verfahren würden sich keine Ermessensfragen stellen - bei deren Beantwortung seine Kognition nach den §§ 20 und 50 des Zürcher Verwaltungsrechtspflegegesetzes vom 24. Mai 1959 enger wäre als diejenige der Sicherheitsdirektion, was eine Heilung ausschlösse -, in dieser absoluten Form nicht zutreffen mag, so beziehen sich die beiden Bemerkungen in der umstrittenen Rekursvernehmlassung jedenfalls auf Sachverhalts- und Rechts-, nicht aber auf Ermessensfragen. Es ist weder dargetan noch ersichtlich, dass dem Beschwerdeführer aus dem Umstand, dass er sich erst im verwaltungsgerichtlichen Verfahren zur Rekursvernehmlassung des Strassenverkehrsamts äussern konnte, ein Nachteil erwachsen wäre. Das Verwaltungsgericht konnte somit die Gehörsverletzung der Sicherheitsdirektion ohne Verfassungsverletzung heilen.</w:t>
      </w:r>
    </w:p>
    <w:p>
      <w:r>
        <w:rPr>
          <w:b/>
        </w:rPr>
        <w:t>E. 4</w:t>
      </w:r>
    </w:p>
    <w:p>
      <w:r>
        <w:t>Der Beschwerdeführer wirft dem Verwaltungsgericht vor, den Sachverhalt unrichtig festgestellt haben. Es sei davon ausgegangen, dem Stadtrichter sei bekannt gewesen, dass er sich von den auf ihn zustürmenden Bauarbeitern bedroht gefühlt und sich dem drohenden Angriff durch einen Blitzstart entzogen habe, auch wenn der Strafverfügung vom 15. Januar 2010 dazu nichts zu entnehmen sei. Da die Strafverfügung keine Begründung enthalte, lasse sich gerade nicht beurteilen, ob der Stadtrichter das Vorliegen einer Notstandssituation bzw. einer Putativnotstandssituation geprüft habe.</w:t>
      </w:r>
    </w:p>
    <w:p>
      <w:r>
        <w:t>Der Einwand ist unbegründet. Dem Stadtrichter war nach der Sachverhaltsdarstellung im Polizeirapport (vorn A. S. 2) durchaus bekannt, dass sich der Beschwerdeführer in der zweiten Phase des Vorfalls, in der er nach dem Wechsel der Ampel von "Rot" auf "Grün" stark beschleunigte und den Vortritt eines Fussgängers missachtete, bedroht gefühlt haben will. Er schloss indessen offensichtlich aus, dass sich der Beschwerdeführer in einer Notstandssituation befand oder irrtümlich davon ausging, sich in einer solchen zu befinden. Das ergibt sich klarerweise daraus, dass sich die Strafverfügung nicht auf die einschlägigen Bestimmungen über den Notstand - Art. 17 f. StGB - stützt. Zudem wäre auch die Höhe der Busse mit der Annahme von Notstand kaum vereinbar. Indem der Beschwerdeführer die Strafverfügung in Rechtskraft erwachsen liess, hat er somit auch akzeptiert, sich nicht in einer Notstandssituation befunden zu haben. Darauf kann er im Verwaltungsverfahren nicht mehr zurückkommen und behaupten, bei einer willkürfreien Feststellung des Sachverhalts müsste ihm zugebilligt werden, sich in einer echten oder irrtümlich in einer vermeintlichen Notstandssituation befunden zu haben.</w:t>
      </w:r>
    </w:p>
    <w:p>
      <w:r>
        <w:rPr>
          <w:b/>
        </w:rPr>
        <w:t>E. 5</w:t>
      </w:r>
    </w:p>
    <w:p>
      <w:r>
        <w:t>Der Beschwerdeführer rügt, das Verwaltungsgericht habe Bundesrecht verletzt, indem es von einer mittelschweren anstatt einer leichten Widerhandlung gegen die Strassenverkehrsvorschriften ausgegangen sei. Ein Augenschein hätte gezeigt, dass die Ampel für den Fussgänger auf "Rot" gestanden habe, als er losgefahren sei. Damit habe er diesen nicht ernsthaft gefährdet, und es sei nur von einer leichten Verkehrsregelverletzung auszugehen. Selbst wenn der Fussgänger die Strasse bei "Grün" betreten hätte, wäre aber höchstens von einer leichten Gefährdung auszugehen, da der Abstand zwischen ihm und seinem Fahrzeug 2 m betragen habe. Die Ausführungen des Verwaltungsgerichts, an seiner Beurteilung des Vorfalls als mittelschwere Verletzung der Verkehrsvorschriften würde sich auch bei Annahme eines Putativnotstands nichts ändern, seien falsch. Bei Annahme von Putativnotstand sei der Täter nach seiner Vorstellung zu beurteilen, was nicht nur zur Reduktion des Verschuldens, sondern zur Rechtfertigung der zur Diskussion stehenden Rechtsverletzung und damit Verzicht auf einen Entzug führen müsste.</w:t>
      </w:r>
    </w:p>
    <w:p>
      <w:r>
        <w:t>Der Stadtrichter ist aufgrund des Polizeirapports davon ausgegangen, dass die Lichtsignalanlage für den Beschwerdeführer und A.________ gleichzeitig auf "Grün" schaltete, dass indessen der nach links abbiegende Beschwerdeführer wegen des gelb blinkenden Warnlichts gegenüber dem die Fahrbahn auf dem Fussgängerstreifen überquerenden Fussgänger vortrittsbelastet war und diesem den Vortritt abschnitt. Der Beschwerdeführer hat die entsprechende Verurteilung ( Art. 33 Abs. 1 und 2 SVG , Art. 6 Abs. 1 [recte: Abs. 2] VRV) akzeptiert und kann nun im Verwaltungsverfahren nicht mit Erfolg vorbringen, er sei vortrittsberechtigt gewesen, weil der Fussgänger den Fussgängerstreifen bei "Rot" betreten habe. Keiner weiteren Ausführungen bedarf, dass derjenige, der als vortrittsbelasteter Automobilist einen Fussgängerstreifen überfährt, ohne sich zu vergewissern, ob sich Fussgänger bereits darauf befinden oder Anstalten machen, ihn zu betreten, eine Gefahr für die Sicherheit anderer hervorruft oder in Kauf nimmt. Das Verwaltungsgericht hat den Vorfall daher zu Recht als mittelschwere Widerhandlung im Sinn von Art. 16b Abs. 1 lit. a SVG eingestuft.</w:t>
      </w:r>
    </w:p>
    <w:p>
      <w:r>
        <w:t>Es kann daher offen bleiben, ob die Ausführungen des Verwaltungsgerichts zum Putativnotstand zutreffen, da nach dem Gesagten (vorn E. 4) davon auszugehen ist, dass ein solcher nicht vorlag.</w:t>
      </w:r>
    </w:p>
    <w:p>
      <w:r>
        <w:t>Ist somit das Verwaltungsgericht zu Recht von einer mittelschweren Widerhandlung ausgegangen, beträgt die gesetzliche Mindestentzugsdauer 1 Monat.</w:t>
      </w:r>
    </w:p>
    <w:p>
      <w:r>
        <w:rPr>
          <w:b/>
        </w:rPr>
        <w:t>E. 6</w:t>
      </w:r>
    </w:p>
    <w:p>
      <w:r>
        <w:t>Die Beschwerde ist unbegründet und damit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