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1C_252/2016 vom 15. November 2016</w:t>
      </w:r>
    </w:p>
    <w:p>
      <w:r>
        <w:t>Bundesgericht, 2016-11-15, FR</w:t>
      </w:r>
    </w:p>
    <w:p>
      <w:r>
        <w:rPr>
          <w:b/>
        </w:rPr>
        <w:t xml:space="preserve">Quelle: </w:t>
      </w:r>
      <w:r>
        <w:t>https://mcp.opencaselaw.ch/entscheid/bger_1C_252_2016</w:t>
      </w:r>
    </w:p>
    <w:p>
      <w:r>
        <w:t>FR: TF 1C_252/2016 du 15 novembre 2016</w:t>
      </w:r>
    </w:p>
    <w:p>
      <w:r>
        <w:t>IT: TF 1C_252/2016 del 15 novembre 2016</w:t>
      </w:r>
    </w:p>
    <w:p>
      <w:pPr>
        <w:pStyle w:val="Heading2"/>
      </w:pPr>
      <w:r>
        <w:t>Erwägungen</w:t>
      </w:r>
    </w:p>
    <w:p>
      <w:r>
        <w:rPr>
          <w:b/>
        </w:rPr>
        <w:t>E. 1</w:t>
      </w:r>
    </w:p>
    <w:p>
      <w:r>
        <w:t>La voie du recours en matière de droit public, au sens des art. 82 ss LTF , est en principe ouverte contre une décision prise en dernière instance cantonale ( art. 86 al. 1 let . d LTF) au sujet d'une mesure administrative de retrait du permis de conduire ( art. 82 let. a LTF ), aucune des exceptions mentionnées à l' art. 83 LTF n'étant réalisée. Le recourant est particulièrement atteint par la décision attaquée, qui confirme le retrait de son permis de conduire pour une durée de douze mois; il a un intérêt digne de protection à son annulation. Il a donc qualité pour recourir au sens de l' art. 89 al. 1 LTF . Les autres conditions de recevabilité du recours sont au surplus réunies, de sorte qu'il convient d'entrer en matière.</w:t>
      </w:r>
    </w:p>
    <w:p>
      <w:r>
        <w:rPr>
          <w:b/>
        </w:rPr>
        <w:t>E. 2</w:t>
      </w:r>
    </w:p>
    <w:p>
      <w:r>
        <w:t>Le recourant se prévaut tout d'abord d'une violation de son droit d'être entendu.</w:t>
      </w:r>
    </w:p>
    <w:p>
      <w:r>
        <w:t>L'argumentation développée à cet égard tend cependant à démontrer que l'autorité précédente se serait distancée des faits retenus sur le plan pénal ( ATF 139 II 95 consid. 3.2 p. 101 s.). On peine dès lors à comprendre de quel (s) aspect (s) du droit d'être entendu se prévaut le recourant. En particulier, il ne se plaint pas d'un défaut de motivation du jugement attaqué ( ATF 141 V 557 consid. 3.2.1 p. 564 s.) ou d'avoir été privé de possibilité de s'exprimer sur les éléments pertinents du dossier avant qu'une décision ne soit rendue à son encontre ( ATF 142 III 48 consid. 4.1.1 p. 52 s.).</w:t>
      </w:r>
    </w:p>
    <w:p>
      <w:r>
        <w:t>Ce grief, manifestement mal fondé, peut donc être rejeté.</w:t>
      </w:r>
    </w:p>
    <w:p>
      <w:r>
        <w:rPr>
          <w:b/>
        </w:rPr>
        <w:t>E. 3</w:t>
      </w:r>
    </w:p>
    <w:p>
      <w:r>
        <w:t>Il n'en va pas différemment des reproches soulevés en lien avec l'établissement des faits ( ATF 140 III 264 consid. 2.3 p. 266).</w:t>
      </w:r>
    </w:p>
    <w:p>
      <w:r>
        <w:t>On ne voit en effet pas quels faits, qui ne résulteraient pas de l'ordonnance pénale, auraient été pris en considération par l'autorité précédente. Le recourant n'en cite d'ailleurs aucun. La cour cantonale a ainsi mentionné les sources de l'ordonnance pénale (cf. le rapport détaillé de la police et les déclarations du recourant lors de son audition du 1er septembre 2015), ainsi que les faits retenus sur cette base par le Préfet ("Circulation au volant du taxi xxx, sans avoir introduit correctement de disque dans le tachygraphe d'un véhicule pour lequel le tachygraphe est prescrit, utilisation et manipulation incorrecte de l'appareil tachygraphe, inscriptions manuscrites erronées sur le disque tachygraphe, fraude avérée rendant le contrôle plus difficile, dépassement du temps de travail hebdomadaire et du temps de conduite journalier, pauses de travail non-respectées, repos quotidien insuffisant dans les 24 heures, nombre de temps de repos quotidiens réduits dépassés par semaine et ne pas se conformer aux dispositions fédérales, cantonales et communales en matière de circulation").</w:t>
      </w:r>
    </w:p>
    <w:p>
      <w:r>
        <w:t>Dans le cadre de ses attributions en matière de circulation routière (cf. ci-après consid. 4.1), la juridiction précédente a ensuite procédé à sa propre appréciation de ces éléments, ainsi que des conséquences pouvant en découler. Il n'y a pas lieu à ce stade d'examiner si les conclusions auxquelles a abouti la cour cantonale sont arbitraires, dès lors que cette question se confond en l'espèce avec les griefs soulevés au fond.</w:t>
      </w:r>
    </w:p>
    <w:p>
      <w:r>
        <w:rPr>
          <w:b/>
        </w:rPr>
        <w:t>E. 4</w:t>
      </w:r>
    </w:p>
    <w:p>
      <w:r>
        <w:t>Invoquant des violations des art. 31 al. 2 et 91 LCR , le recourant soutient qu'il n'existerait aucun indice qui attesterait d'une incapacité de conduire de sa part; en particulier, le policier n'aurait constaté aucun signe de fatigue lors de son contrôle du 3 décembre 2014 et les erreurs de manipulation du tachygraphe, ainsi que la lecture des disques démontreraient de longues périodes durant lesquelles le véhicule n'aurait pas été en mouvement. Selon le recourant, il en résulterait que la faute commise - en lien avec l'infraction de mauvais usage du tachygraphe - ne pourrait être qualifiée de grave; en l'absence de danger, la faute légère éventuellement réalisée pourrait tout au plus entraîner un avertissement.</w:t>
      </w:r>
    </w:p>
    <w:p>
      <w:r>
        <w:rPr>
          <w:b/>
        </w:rPr>
        <w:t>E. 4.1</w:t>
      </w:r>
    </w:p>
    <w:p>
      <w:r>
        <w:t>En matière de répression des infractions relatives à la circulation routière, le droit suisse connaît le système de la double procédure pénale et administrative : le juge pénal se prononce sur les sanctions pénales (amende, peine pécuniaire, travail d'intérêt général ou peine privative de liberté) prévues par les dispositions pénales de la LCR ( art. 90 ss LCR ) et par le Code pénal ( art. 34 ss, 106 et 107 CP ), tandis que les autorités administratives compétentes décident de mesures administratives (avertissement ou retrait de permis) prévues par les art. 16 ss LCR ( ATF 139 II 95 consid. 3.2 p. 101).</w:t>
      </w:r>
    </w:p>
    <w:p>
      <w:r>
        <w:t>Une certaine coordination s'impose entre ces deux procédures. La jurisprudence a ainsi établi qu'en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s. et les arrêts cités).</w:t>
      </w:r>
    </w:p>
    <w:p>
      <w:r>
        <w:t>Selon l' art. 16c al. 1 let . c LCR, commet une infraction grave la personne qui conduit un véhicule automobile alors qu'elle est incapable de conduire du fait de l'absorption de stupéfiants ou de médicaments ou pour d'autres raisons. L'alinéa 2 let. c de cette disposition prévoit qu'après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(art. 16 al. 3 aLCR dans sa teneur en vigueur jusqu'au 31 juillet 2016 [RO 2002 2767, 2004 2849, FF 1999 4106; RO 2016 2429, FF 2015 2657]).</w:t>
      </w:r>
    </w:p>
    <w:p>
      <w:r>
        <w:rPr>
          <w:b/>
        </w:rPr>
        <w:t>E. 4.2</w:t>
      </w:r>
    </w:p>
    <w:p>
      <w:r>
        <w:t>Selon l' art. 31 al. 2 LCR ,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Est tenu de s'abstenir de conduire quiconque n'en est pas capable parce qu'il est surmené, sous l'effet de l'alcool, d'un médicament, d'un stupéfiant ou pour toute autre raison ( art. 2 al. 1 OCR ).</w:t>
      </w:r>
    </w:p>
    <w:p>
      <w:r>
        <w:t>La capacité de conduire est l'aptitude physique et psychique momentanée à conduire de manière sûre un véhicule sur l'ensemble d'un trajet. Doit être assurée une capacité générale à conduire; celle-ci comprend, outre les compétences de base, une capacité à pouvoir réagir aux difficultés qui peuvent survenir brusquement dans le trafic, sur la route et/ou en raison de l'environnement. En d'autres termes, le conducteur doit être en mesure de conduire en toute sécurité son véhicule, y compris lorsqu'une situation imprévisible se présente et/ou si le trafic est difficile ( ATF 130 IV 32 consid. 3.1 p. 35). La conduite en état d'incapacité constitue une infraction grave (cf. art. 16c al. 1 let . c LCR).</w:t>
      </w:r>
    </w:p>
    <w:p>
      <w:r>
        <w:t>Le surmenage ou une fatigue extrême est un cas d'incapacité de conduire qui se traduit en général par un assoupissement au volant (CÉDRIC MIZEL, Droit et pratique illustrée du retrait du permis de conduire, 2015, n° 45.1 p. 293 et n° 68.2 p. 498 s.). Peut aussi être considéré comme surmené le chauffeur qui est resté longtemps sans dormir, celui qui a effectué un travail physique ou psychologique intensif et/ou celui qui a poursuivi un long trajet sans effectuer de pauses (ANDREAS ROTH, in Basler Kommentar, Strassenverkehrsgesetz, 2014, n° 21 ad art. 31 LCR ). Conduire dans un tel état induit une mise en danger abstraite accrue grave de la sécurité routière ( ATF 126 II 206 consid. 1a p. 209; PHILIPPE WEISSENBERGER, Kommentar Strassenverkehrsgesetz und Ordnungsbussengesetz, 2e éd. 2015, n° 28 ad art. 31 LCR ; MIZEL, op. cit., n° 45.1 p. 293 et n° 68.2 p. 498 s.), cela indépendamment de la survenance d'un accident (arrêt 6A.55/2006 du 5 février 2007 consid. 3) ou d'éventuelles mesures prises pour ne pas s'endormir (arrêt 6A.84/2006 du 27 décembre 2006 consid. 3.4).</w:t>
      </w:r>
    </w:p>
    <w:p>
      <w:r>
        <w:t>S'il existe des signes avant-coureurs de la fatigue (troubles de la vision, courtes absences, baisse de l'attention, réactivité moindre, etc.; cf. ATF 126 II 206 consid. 1a p. 208; ROTH, op. cit., n° 22 ad art. 31 LCR ), il est en pratique difficile de prouver cet état, notamment en l'absence de déclarations de témoins (WEISSENBERGER, op. cit., n° 29 ad art. 31 LCR ) ou d'indices de conduite en état d'ébriété ou sous l'influence de stupéfiants (ROTH, op. cit., n° 26 ad art. 31 LCR ). Il en découle que c'est généralement à la suite d'un accident resté inexpliqué que cette question se posera; le juge examinera alors en particulier les conditions entourant le trajet effectué, ainsi que les activités de l'intéressé durant, au moins, les quarante dernières heures (ROTH, op. cit., n° 26 ad art. 31 LCR ).</w:t>
      </w:r>
    </w:p>
    <w:p>
      <w:r>
        <w:t>Selon la jurisprudence, une violation des prescriptions en matière de pauses et de temps de repos prescrites par l'OTR 1 - respectivement l'OTR 2 s'agissant des conducteurs professionnels de véhicules légers affectés au transport de personnes - peut être constitutive d'une violation des règles de la circulation si elle contrevient également aux art. 16 ss LCR . A titre d'exemple, une incapacité de conduire au sens de l' art. 31 al. 2 LCR peut être retenue en cas de violation particulièrement crasse des prescriptions sur la durée du temps de travail et de repos (OTR 1 et OTR 2; arrêt 1C_407/2015 du 25 février 2016 consid. 2).</w:t>
      </w:r>
    </w:p>
    <w:p>
      <w:r>
        <w:rPr>
          <w:b/>
        </w:rPr>
        <w:t>E. 4.3</w:t>
      </w:r>
    </w:p>
    <w:p>
      <w:r>
        <w:t>Sur la base des faits établis par l'autorité pénale (cf. consid. 3 ci-dessus), la cour cantonale a retenu l'existence de violations crasses des dispositions sur la durée du travail et du repos (OTR 2) de la part du recourant. Selon l'autorité précédente, une telle constatation découlait notamment de l'ampleur et de la gravité des infractions commises; il ressortait ainsi du rapport détaillé de la police que le recourant avait notamment dépassé de manière très importante les heures de travail hebdomadaires autorisées (sur quatre semaines : 13h35, 31h18, 32h24 et 21h05, ce qui représentait un dépassement moyen supérieur à trois heures par jour) et n'avait pas respecté les heures de repos durant l'entier du mois contrôlé (en particulier, entre le 12 et 13 novembre 2014, il s'était contenté de 1h44 de repos en l'espace de 24h au lieu des neuf heures préconisées [cf. art. 9 OTR 2 ]). La cour cantonale a donc estimé que le recourant avait conduit en état d'incapacité au sens de l' art. 31 al. 2 LCR (surmenage), ce qui permettait l'application de l' art. 16c al. 1 let . c LCR.</w:t>
      </w:r>
    </w:p>
    <w:p>
      <w:r>
        <w:rPr>
          <w:b/>
        </w:rPr>
        <w:t>E. 4.4</w:t>
      </w:r>
    </w:p>
    <w:p>
      <w:r>
        <w:t>Ce raisonnement ne prête pas le flanc à la critique. En effet, la constatation d'une incapacité de conduire pour surmenage peut reposer sur d'autres éléments que des signes de fatigue constatés lors d'un contrôle et/ou à la suite d'un accident. L'état de surmenage découle en l'espèce du travail excédentaire réalisé et du non-respect des pauses par le recourant. Ces faits ont été établis sur le plan pénal à la suite de l'analyse des disques du tachygraphe - examen par ailleurs uniquement compliqué par l'utilisation erronée et les annotations manuscrites effectuées par le recourant - et n'ont pas été remis en cause par ce dernier; l'autorité administrative y est donc liée. Vu l'importance, le nombre des violations (cf. les exemples relevés par la cour cantonale et le rapport de police), ainsi que la durée durant laquelle elles ont été commises (un mois), elles peuvent être considérées, sans arbitraire, comme crasses au sens de la jurisprudence susmentionnée. La seule affirmation du recourant de ne pas avoir été fatigué ne suffit pas pour exclure un tel état ou pour considérer que ses clients, les autres usagers de la route, ainsi que le recourant lui-même n'aient pas été mis en danger par le défaut de repos constaté.</w:t>
      </w:r>
    </w:p>
    <w:p>
      <w:r>
        <w:t>Contrairement à ce que soutient le recourant, la cour cantonale ne rend pas une décision contradictoire, ni ne viole le principe de présomption d'innocence en retenant une infraction grave dès lors que l'autorité administrative n'est pas liée par la qualification juridique effectuée par le juge pénal, en particulier s'agissant de l'appréciation de la faute et de la mise en danger; on ne saurait en effet exclure le prononcé d'une mesure administrative pour infraction grave selon l' art. 16c al. 1 LCR du seul fait de l'existence d'une condamnation pénale uniquement pour infraction simple à la loi sur la circulation routière (arrêt 1C_72/2016 du 11 mai 2016 consid. 2.1).</w:t>
      </w:r>
    </w:p>
    <w:p>
      <w:r>
        <w:t>Il s'ensuit que la juridiction précédente pouvait, sans violer le droit fédéral ou faire preuve d'arbitraire, considérer qu'au regard des nombreuses et conséquentes violations en matière de durée du temps de travail et de repos, le recourant se trouvait en état d'incapacité pour surmenage ( art. 31 al. 2 LCR ) et faire application de l' art. 16c al. 1 let . c LCR. La réalisation de cette infraction entraîne le retrait du permis de conduire pour douze mois au minimum en cas d'antécédent pour faute grave dans les cinq ans ( art. 16c al. 2 let . c LCR). Cette condition étant réalisée et la durée minimale légale ayant été retenue ( art. 16 al. 3 LCR ), la Cour de droit administratif et public pouvait à juste titre confirmer le retrait du permis de conduire prononcé par le SAN.</w:t>
      </w:r>
    </w:p>
    <w:p>
      <w:r>
        <w:rPr>
          <w:b/>
        </w:rPr>
        <w:t>E. 5</w:t>
      </w:r>
    </w:p>
    <w:p>
      <w:r>
        <w:t>Il s'ensuit que le recours est rejeté.</w:t>
      </w:r>
    </w:p>
    <w:p>
      <w:r>
        <w:t>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