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1C_252/2007 vom 27. Juni 2007</w:t>
      </w:r>
    </w:p>
    <w:p>
      <w:r>
        <w:t>Bundesgericht, 2007-06-27, DE</w:t>
      </w:r>
    </w:p>
    <w:p>
      <w:r>
        <w:rPr>
          <w:b/>
        </w:rPr>
        <w:t xml:space="preserve">Quelle: </w:t>
      </w:r>
      <w:r>
        <w:t>https://mcp.opencaselaw.ch/entscheid/bger_1C_252_2007</w:t>
      </w:r>
    </w:p>
    <w:p>
      <w:r>
        <w:t>FR: TF 1C_252/2007 du 27 juin 2007</w:t>
      </w:r>
    </w:p>
    <w:p>
      <w:r>
        <w:t>IT: TF 1C_252/2007 del 27 giugno 2007</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 BGE 133 II 249 E. 1.1 S. 251). Der Entscheid des Verwaltungsgerichts, einer letzten kantonalen Instanz ( Art. 86 Abs. 1 lit. d BGG ), betrifft ein öffentlich-rechtliches Rechtsverhältnis und daher eine Angelegenheit im Sinne von Art. 82 lit. a BGG . Der Beschwerdeführer macht eine Forderung von rund 220'000 Franken geltend. Es handelt sich um eine vermögensrechtliche Angelegenheit ( Art. 83 lit. g BGG ) und die Streitwertgrenze von 15'000 Franken ist überschritten ( Art. 85 Abs. 1 lit. b BGG ). Die I. öffentlich-rechtliche Abteilung des Bundesgerichts ist zur Behandlung der Beschwerde zuständig (Art. 29 Abs. 1 lit. g Reglement für das Bundesgericht vom 20. November 2006, SR 173.110.131). Auf die rechtzeitig eingelegte Beschwerde ist einzutreten.</w:t>
      </w:r>
    </w:p>
    <w:p>
      <w:r>
        <w:rPr>
          <w:b/>
        </w:rPr>
        <w:t>E. 2</w:t>
      </w:r>
    </w:p>
    <w:p>
      <w:r>
        <w:t>Das Verwaltungsgericht erachtet die Weigerung zur Leistung von Lohnfortzahlungen gemäss Verfügung der Sicherheitsdirektion vom 26. Juli 2004 als personalrechtliche Anordnung, weshalb das Anfechtungsverfahren offen stehe. Es handle sich um eine öffentlich-rechtliche Streitigkeit, da die Einsätze des Beschwerdeführers im Rahmen einer Gerichts- bzw. Verwaltungstätigkeit staatlicher bzw. hoheitlicher Natur erfolgt seien.</w:t>
      </w:r>
    </w:p>
    <w:p>
      <w:r>
        <w:t>Ein Arbeitsverhältnis im Sinne des kantonalen Personalrechts sei anzunehmen, wenn in analoger Anwendung des Zivilrechts ein Arbeitsverhältnis vorliege. Zwar sei die Tätigkeit des Dolmetschers gemäss kantonaler Dolmetscherverordnung vom 26./27. November 2003 als Auftrag ausgestaltet, bei gegenseitiger Zustimmung zum Dolmetscher- oder Übersetzereinsatz entstehe in diesem Umfang aber ein öffentlich-rechtliches Vertragsverhältnis zwischen der Behörde und dem Dolmetscher, worauf die Bestimmungen des Obligationenrechts über den Auftrag sinngemäss anwendbar seien. Massgeblich für die rechtliche Qualifikation sei die tatsächliche Ausgestaltung der Rechtsbeziehung. Die Behörde habe den Beschwerdeführer immer wieder von Neuem mündlich für die Übernahme von Einsätzen angefragt. Die konkrete Präsenzzeit bzw. die Verfügbarkeit an Wochenenden seien jeweils mit dem verfahrensführenden Sachbearbeiter abgesprochen worden. Der Beschwerdeführer hätte diese Anfragen jeweils ablehnen können. Dieser Umstand spreche für ein Auftragsverhältnis. Die sozialversicherungsrechtliche Behandlung (Sozialabzüge, fehlende Regelung des Ferienanspruchs) sei für die Rechtsnatur des Vertragsverhältnisses nicht massgebend. Es bestünden keine Hinweise für eine Überwachung von Präsenz- oder Arbeitszeit. Weisungen und Kontrollmechanismen hätten keine bestanden. Der Beschwerdeführer sei in Gestaltung und Ausübung seiner Tätigkeit weitgehend frei gewesen. Das Vorliegen eines Arbeitsverhältnisses sei infolge weitgehend fehlender Subordination zu verneinen. Daher bestehe kein Anspruch auf Lohnfortzahlung und es könne offen bleiben, ob ein Auftrag oder ein Werkvertrag vorliege.</w:t>
      </w:r>
    </w:p>
    <w:p>
      <w:r>
        <w:rPr>
          <w:b/>
        </w:rPr>
        <w:t>E. 3</w:t>
      </w:r>
    </w:p>
    <w:p>
      <w:r>
        <w:t>Der Beschwerdeführer macht geltend, er sei während vier Jahren ausschliesslich für den Kanton Zürich tätig gewesen. Es liege eine Unterordnung hinsichtlich Arbeitszeit und -organisation vor, die auf eine unselbständige Tätigkeit schliessen lasse. Er habe ausschliesslich in den Räumlichkeiten des Kantons gearbeitet und er sei nach einer einheitlichen Tarifstruktur innerhalb eines vom Kanton festgelegten Rahmens entschädigt worden. Es hätten Weisungen bestanden, da er strafrechtlich auf das Amtsgeheimnis und auf richtige Übersetzung verpflichtet worden sei. Der Kanton habe insbesondere bestimmt, dass der Beschwerdeführer im Bereich der Telefonkontrolle eingesetzt werde. Die Verneinung eines Subordinationsverhältnisses sei willkürlich. Überdies sei es widersprüchlich und treuwidrig, dass eine selbständige Tätigkeit hinsichtlich der Sozialabgaben verneint, hinsichtlich des Personalrechts aber bejaht werde.</w:t>
      </w:r>
    </w:p>
    <w:p>
      <w:r>
        <w:rPr>
          <w:b/>
        </w:rPr>
        <w:t>E. 4</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5.1</w:t>
      </w:r>
    </w:p>
    <w:p>
      <w:r>
        <w:t>In tatsächlicher Hinsicht besteht Einigkeit über Dauer und Umfang der Tätigkeit des Beschwerdeführers. Streitig ist jedoch das Bestehen eines Arbeitsverhältnisses. Das Rechtsverhältnis zwischen dem Beschwerdeführer und dem Kanton untersteht nach den Ausführungen des Verwaltungsgerichts dem kantonalen öffentlichen Recht. Das Obligationenrecht wurde ergänzend und sinngemäss herangezogen; es gilt daher als subsidiäres öffentliches Recht des Kantons Zürich. Das Bundesgericht kann die Verletzung kantonalen Rechts nur insoweit prüfen, als in der Beschwerde entsprechende Verfassungsrügen erhoben werden. Die Einschränkung der Beschwerdegründe hinsichtlich des kantonalen Rechts ergibt sich aus Art. 95 BGG , die Rüge- und Begründungspflicht aus Art. 106 Abs. 2 i.V.m. Art. 42 Abs. 2 BGG (Urteile 1C_68/2007 vom 14. September 2007 E. 2.3 sowie 1C_195/2007 vom 17. Dezember 2007 E. 4).</w:t>
      </w:r>
    </w:p>
    <w:p>
      <w:r>
        <w:rPr>
          <w:b/>
        </w:rPr>
        <w:t>E. 5.2</w:t>
      </w:r>
    </w:p>
    <w:p>
      <w:r>
        <w:t>Gemäss Lehre und Rechtsprechung zum Privatrecht entscheidet sich aufgrund einer Gesamtbeurteilung des Rechtsverhältnisses und einer Mehrzahl von Kriterien, ob ein Arbeitsverhältnis vorliegt. Für das Vorliegen eines Arbeitsvertrags sprechen im Einzelnen folgende Merkmale: rechtliche Subordination, wirtschaftliche Abhängigkeit des Beschäftigten, fixes Gehalt, Sozialabzüge, Dauer des Rechtsverhältnisses, Vereinbarungen betreffend Ferienanspruch, Probezeit und Konkurrenzverbot sowie der Umstand, dass der Betrieb Werkzeug, Material und Arbeitsräume zur Verfügung stellt (Wolfgang Portmann, Basler Kommentar, Obligationenrecht I, 4. Auflage, Basel 2007, Rz. 14 ff. zu Art. 319 OR ; Adrian Staehelin, Zürcher Kommentar, 4. Auflage, Zürich 2006, Rz. 32 f. zu Art. 319 OR ).</w:t>
      </w:r>
    </w:p>
    <w:p>
      <w:r>
        <w:rPr>
          <w:b/>
        </w:rPr>
        <w:t>E. 5.3</w:t>
      </w:r>
    </w:p>
    <w:p>
      <w:r>
        <w:t>Das Verwaltungsgericht qualifizierte das vorliegend zu beurteilende Rechtsverhältnis zwischen dem Beschwerdeführer und dem Kanton als Auftrag. Es begründete seinen Standpunkt im Wesentlichen damit, dass die Arbeitseinsätze des Beschwerdeführers stets neu ausgehandelt wurden und dass kein Subordinationsverhältnis bestand, dies mangels Weisungen und Kontrollen, namentlich mangels Arbeitszeit- und Präsenzkontrollen und mangels Mitarbeiterbeurteilungen. Dagegen mass das Verwaltungsgericht den Kriterien der wirtschaftlichen Abhängigkeit des Beschwerdeführers, der ausschliesslich für den Kanton tätig war, der vierjährigen Dauer der Tätigkeit, den Sozialabzügen und der Benützung der Arbeitsräume des Kantons keine entscheidende Bedeutung bei.</w:t>
      </w:r>
    </w:p>
    <w:p>
      <w:r>
        <w:t>Im vorliegenden Fall kommen die bundesrechtlichen Abgrenzungskriterien des Arbeitsverhältnisses lediglich als subsidiäres öffentliches Recht des Kantons zum Tragen (E. 5.1 hiervor), weshalb die Anwendung des kantonalen Rechts nur auf Willkür zu untersuchen ist. Im Unterschied zu einer Appellationsinstanz kann das Bundesgericht den angefochtenen Entscheid nicht mit voller Kognition überprüfen. Eine Gutheissung der Beschwerde kommt nur in Betracht, wenn der angefochtene Entscheid schlechterdings unhaltbar ist (hiervor E. 4). Unter diesem eingeschränkten Blickwinkel betrachtet, erweist sich das angefochtene Urteil als haltbar. Das Verwaltungsgericht hat das Rechtsverhältnis anhand rechtlich zutreffender Kriterien beurteilt und ist zu einem nachvollziehbaren Ergebnis gelangt. Die Willkürrüge ist unbegründet.</w:t>
      </w:r>
    </w:p>
    <w:p>
      <w:r>
        <w:rPr>
          <w:b/>
        </w:rPr>
        <w:t>E. 5.4</w:t>
      </w:r>
    </w:p>
    <w:p>
      <w:r>
        <w:t>Da das angefochtene Urteil unabhängig vom sozialversicherungsrechtlichen Status des Beschwerdeführers Bestand hat, ist das Sistierungsgesuch abzuweisen.</w:t>
      </w:r>
    </w:p>
    <w:p>
      <w:r>
        <w:rPr>
          <w:b/>
        </w:rPr>
        <w:t>E. 6</w:t>
      </w:r>
    </w:p>
    <w:p>
      <w:r>
        <w:t>Die Beschwerde ist nach dem Gesagten abzuweisen. Bei diesem Verfahrensausgang wird der Beschwerdeführer grundsätzlich kostenpflichtig ( Art. 66 Abs. 1 BGG ). Da jedoch sein Gesuch um unentgeltliche Rechtspflege und Verbeiständung bewilligt wird ( Art. 64 BGG ), sind keine Gerichtskosten zu erheben. Der Vertreter des Beschwerdeführers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