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1C_251/2023 vom 22. Juni 2023</w:t>
      </w:r>
    </w:p>
    <w:p>
      <w:r>
        <w:t>Bundesgericht, 2023-06-22, IT</w:t>
      </w:r>
    </w:p>
    <w:p>
      <w:r>
        <w:rPr>
          <w:b/>
        </w:rPr>
        <w:t xml:space="preserve">Quelle: </w:t>
      </w:r>
      <w:r>
        <w:t>https://mcp.opencaselaw.ch/entscheid/bger_1C_251_2023</w:t>
      </w:r>
    </w:p>
    <w:p>
      <w:r>
        <w:t>FR: TF 1C_251/2023 du 22 juin 2023</w:t>
      </w:r>
    </w:p>
    <w:p>
      <w:r>
        <w:t>IT: TF 1C_251/2023 del 22 giugno 2023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Ne segue che, in quanto ammissibile, il ricorso dev'essere respinto, come la domanda di assistenza giudiziaria. In effetti, le conclusioni ricorsuali erano prive di probabilità di successo ( art. 64 cpv. 1 LTF ). Considerata la situazione finanziaria del ricorrente, si possono nondimeno prelevare spese giudiziarie ridotte.</w:t>
      </w:r>
    </w:p>
    <w:p>
      <w:r>
        <w:t>L'emanazione del presente giudizio rende priva di oggetto la domanda di conferimento dell'effetto sospensivo.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