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251/2017 vom 24. Mai 2017</w:t>
      </w:r>
    </w:p>
    <w:p>
      <w:r>
        <w:t>Bundesgericht, 2017-05-24, DE</w:t>
      </w:r>
    </w:p>
    <w:p>
      <w:r>
        <w:rPr>
          <w:b/>
        </w:rPr>
        <w:t xml:space="preserve">Quelle: </w:t>
      </w:r>
      <w:r>
        <w:t>https://mcp.opencaselaw.ch/entscheid/bger_1C_251_2017</w:t>
      </w:r>
    </w:p>
    <w:p>
      <w:r>
        <w:t>FR: TF 1C 251/2017 du 24 mai 2017</w:t>
      </w:r>
    </w:p>
    <w:p>
      <w:r>
        <w:t>IT: TF 1C 251/2017 del 24 maggio 2017</w:t>
      </w:r>
    </w:p>
    <w:p>
      <w:pPr>
        <w:pStyle w:val="Heading2"/>
      </w:pPr>
      <w:r>
        <w:t>Regeste</w:t>
      </w:r>
    </w:p>
    <w:p>
      <w:r>
        <w:t>Auslieferung an Ungarn | Rechtshilfe und Auslieferung</w:t>
      </w:r>
    </w:p>
    <w:p>
      <w:pPr>
        <w:pStyle w:val="Heading2"/>
      </w:pPr>
      <w:r>
        <w:t>Erwägungen</w:t>
      </w:r>
    </w:p>
    <w:p>
      <w:r>
        <w:rPr>
          <w:b/>
        </w:rPr>
        <w:t>E. 1</w:t>
      </w:r>
    </w:p>
    <w:p>
      <w:r>
        <w:t>Die Beschwerdefrist bei Entscheiden auf dem Gebiet der internationalen Rechtshilfe in Strafsachen beträgt zehn Tage ( Art. 100 Abs. 2 lit. b BGG ). Eingaben müssen spätestens am letzten Tag der Frist beim Bundesgericht eingereicht oder zu dessen Handen der Schweizerischen Post oder einer schweizerischen diplomatischen oder konsularischen Vertretung übergeben werden ( Art. 48 Abs. 1 BGG ). Die Frist gilt auch als gewahrt, wenn die Eingabe rechtzeitig bei der Vorinstanz oder bei einer unzuständigen eidgenössischen oder kantonalen Behörde eingereicht worden ist. Die Eingabe ist unverzüglich dem Bundesgericht zu übermitteln ( Art. 48 Abs. 3 BGG ). Der Beschwerdeführer nahm den angefochtenen Entscheid am 24. April 2017 in Empfang. Die Beschwerdefrist von zehn Tagen begann somit am 25. April 2017 zu laufen ( Art. 44 Abs. 1 BGG ) und endete am 4. Mai 2017. Der Beschwerdeführer übergab seine Eingabe vom 26. April 2017 am 28. April 2017 und damit innerhalb der Beschwerdefrist der Schweizerischen Post. Die Eingabe ist rechtzeitig. Dass er sie dem Bundesamt eingereicht hat, schadet ihm gemäss Art. 48 Abs. 3 BGG nicht. Die Beschwerdeergänzungen vom 10. und 15. Mai 2017 sind dagegen verspätet und können deshalb nicht berücksichtigt werden.</w:t>
      </w:r>
    </w:p>
    <w:p>
      <w:r>
        <w:rPr>
          <w:b/>
        </w:rPr>
        <w:t>E. 2.1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hier um eine Auslieferung und damit ein Sachgebiet, bei dem die Beschwerde gemäss Art. 84 Abs. 1 BGG insoweit möglich ist. Ein besonders bedeutender Fall liegt jedoch nicht vor. Die Vorinstanz trat auf die bei ihr eingereichte Beschwerde nicht ein, da der Beschwerdeführer innerhalb der angesetzten Frist weder den verlangten Kostenvorschuss bezahlt noch um unentgeltliche Rechtspflege und Verbeiständung ersucht hatte. In der Folge äusserte sich die Vorinstanz gleichwohl inhaltlich zu den vom Beschwerdeführer gegen die Auslieferung erhobenen Einwänden und beurteilte diese als offensichtlich unbegründet. Die Erwägungen der Vorinstanz, auf welche gemäss Art. 109 Abs. 3 BGG verwiesen werden kann, stützen sich auf die bundesgerichtliche Rechtsprechung und lassen keine Bundesrechtsverletzung erkennen. Rechtsfragen von grundsätzlicher Bedeutung stellen sich nicht. Auch sonst wie kommt der Angelegenheit keine aussergewöhnliche Tragweite zu. Auf die Beschwerde wird deshalb nicht eingetreten.</w:t>
      </w:r>
    </w:p>
    <w:p>
      <w:r>
        <w:rPr>
          <w:b/>
        </w:rPr>
        <w:t>E. 3</w:t>
      </w:r>
    </w:p>
    <w:p>
      <w:r>
        <w:t>Unter den gegebenen Umständen - der Beschwerdeführer befindet sich seit rund vier Monaten in Auslieferungshaft und lebte offenbar bereits vorher in angespannten finanziellen Verhältnissen - rechtfertigt es sich,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