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1C_251/2011 vom 21. Juli 2011</w:t>
      </w:r>
    </w:p>
    <w:p>
      <w:r>
        <w:t>Bundesgericht, 2011-07-21, FR</w:t>
      </w:r>
    </w:p>
    <w:p>
      <w:r>
        <w:rPr>
          <w:b/>
        </w:rPr>
        <w:t xml:space="preserve">Quelle: </w:t>
      </w:r>
      <w:r>
        <w:t>https://mcp.opencaselaw.ch/entscheid/bger_1C_251_2011</w:t>
      </w:r>
    </w:p>
    <w:p>
      <w:r>
        <w:t>FR: TF 1C_251/2011 du 21 juillet 2011</w:t>
      </w:r>
    </w:p>
    <w:p>
      <w:r>
        <w:t>IT: TF 1C_251/2011 del 21 luglio 2011</w:t>
      </w:r>
    </w:p>
    <w:p>
      <w:pPr>
        <w:pStyle w:val="Heading2"/>
      </w:pPr>
      <w:r>
        <w:t>Erwägungen</w:t>
      </w:r>
    </w:p>
    <w:p>
      <w:r>
        <w:rPr>
          <w:b/>
        </w:rPr>
        <w:t>E. 1</w:t>
      </w:r>
    </w:p>
    <w:p>
      <w:r>
        <w:t>Le Tribunal fédéral examine d'office et librement la recevabilité des recours dont il est saisi ( ATF 136 V 141 consid. 1 p. 142).</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sont directement touchés par le prononcé d'irrecevabilité de l'arrêt attaqué et ont un intérêt digne de protection à en obtenir l'annulation. Ils ont dès lors qualité pour recourir au sens de l' art. 89 al. 1 LTF .</w:t>
      </w:r>
    </w:p>
    <w:p>
      <w:r>
        <w:rPr>
          <w:b/>
        </w:rPr>
        <w:t>E. 1.2</w:t>
      </w:r>
    </w:p>
    <w:p>
      <w:r>
        <w:t>La voie du recours concernant le droit de vote des citoyens ainsi que les élections et votations populaires au sens de l' art. 82 let . c LTF n'est pas ouverte, dans la mesure où la décision litigieuse ne porte pas d'atteinte directe aux droits politiques des citoyens de Sainte-Croix. En effet, la manière dont l'exécutif communal a traité la motion déposée par le législatif communal est une question relative à la procédure parlementaire communale, qui se rapporte au processus de décision au sein d'un autre organe que le corps électoral (cf. ATF 131 I 366 consid. 2.1; cf. arrêt 1P.571/2000 du 16 novembre 2000 consid. 1; arrêt 1C_547/2010 du 13 décembre 2010).</w:t>
      </w:r>
    </w:p>
    <w:p>
      <w:r>
        <w:rPr>
          <w:b/>
        </w:rPr>
        <w:t>E. 1.3</w:t>
      </w:r>
    </w:p>
    <w:p>
      <w:r>
        <w:t>Le Tribunal cantonal a refusé d'entrer en matière sur le recours. Dès lors, seule la question de la recevabilité du recours cantonal peut être portée devant le Tribunal fédéral qui n'a, à ce stade, pas à examiner le fond de la contestation. En cas d'admission du recours, la cause devrait être renvoyée au Tribunal cantonal pour qu'il entre en matière sur le recours et statue au fond. Les conclusions des recourants tendant à l'annulation de l'arrêt attaqué et entendant obtenir du Tribunal cantonal qu'il statue matériellement sur le recours dont ils l'avaient saisi sont donc recevables ( ATF 133 II 409 consid. 1.4 p. 414; 133 III 489 consid. 3.1).</w:t>
      </w:r>
    </w:p>
    <w:p>
      <w:r>
        <w:rPr>
          <w:b/>
        </w:rPr>
        <w:t>E. 1.4</w:t>
      </w:r>
    </w:p>
    <w:p>
      <w:r>
        <w:t>Le prononcé d'irrecevabilité est fondé sur le droit cantonal de procédure.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133 III 639 consid. 2 p. 639 s.; 133 II 249 consid. 1.4.2 p. 254).</w:t>
      </w:r>
    </w:p>
    <w:p>
      <w:r>
        <w:rPr>
          <w:b/>
        </w:rPr>
        <w:t>E. 2</w:t>
      </w:r>
    </w:p>
    <w:p>
      <w:r>
        <w:t>Sans se plaindre explicitement d'arbitraire, les recourants reprochent au Tribunal cantonal d'avoir considéré que la décision de la Municipalité de traiter la motion de la manière dont elle l'a fait ne constituait pas une décision au sens de l' art. 3 al. 1 LPA /VD. Ils soutiennent en outre que l'instance précédente aurait fait une confusion entre le projet de décision ayant entraîné le vote du Conseil communal du 21 février 2011 et la décision contenue dans le préavis du 1er février 2011 de la manière de traiter la motion: ils se prévalent à cet égard d'un déni de justice formel.</w:t>
      </w:r>
    </w:p>
    <w:p>
      <w:r>
        <w:rPr>
          <w:b/>
        </w:rPr>
        <w:t>E. 2.1</w:t>
      </w:r>
    </w:p>
    <w:p>
      <w:r>
        <w:t>Selon l' art. 3 al. 1 LPA /VD,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notion de décision implique donc un rapport juridique obligatoire et contraignant entre l'autorité et l'administré (cf. ATF 121 II 473 consid. 2a p. 477).</w:t>
      </w:r>
    </w:p>
    <w:p>
      <w:r>
        <w:rPr>
          <w:b/>
        </w:rPr>
        <w:t>E. 2.2</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134 I 263 consid. 3.1 p. 266; 132 I 13 consid. 5.1 p. 17; 131 I 217 consid. 2.1 p. 219, 57 consid. 2 p. 61; 129 I 173 consid. 3.1 p. 178).</w:t>
      </w:r>
    </w:p>
    <w:p>
      <w:r>
        <w:rPr>
          <w:b/>
        </w:rPr>
        <w:t>E. 2.3</w:t>
      </w:r>
    </w:p>
    <w:p>
      <w:r>
        <w:t>En l'espèce, le Tribunal cantonal a considéré que le recours qui lui était soumis était dirigé contre le préavis de la Municipalité du 1er février 2011. L'instance précédente a estimé qu'un tel préavis ne remplissait aucune des conditions de l' art. 3 al. 1 LPA /VD permettant d'admettre l'existence d'une décision administrative. Ce raisonnement échappe à l'évidence à l'arbitraire, dès lors qu'un simple préavis à l'intention du législatif communal ne saurait avoir un quelconque effet contraignant. Il importe peu à cet égard que ledit préavis puisse être interprété comme une réponse implicite à une motion dudit législatif. C'est dès lors à juste titre que le Tribunal cantonal a refusé d'entrer en matière sur le recours. Le grief de déni de justice formel doit aussi être écarté, dans la mesure où l'instance précédente a indiqué les motifs qui l'ont conduite à ne pas entrer en matière.</w:t>
      </w:r>
    </w:p>
    <w:p>
      <w:r>
        <w:t>Au demeurant, la façon dont l'exécutif communal a traité la motion précitée a par la suite été soumise au vote du législatif communal, qui a donné son aval, à une large majorité. Le législatif communal s'est en effet d'abord prononcé sur le règlement, puis sur la question de la soumission au référendum spontané dudit règlement. Il a accepté sur ces deux points le préavis de l'exécutif communal. Dès lors que le préavis de la Municipalité - qui comprend la décision relative à la manière de traiter la motion - a été adopté par le Conseil communal, seule la décision de celui-ci pouvait faire l'objet d'un recours au Conseil d'Etat sur la base de l'art. 145 de la loi vaudoise sur les communes du 28 février 1956 (LC; RSV 175.11).</w:t>
      </w:r>
    </w:p>
    <w:p>
      <w:r>
        <w:t>Par ailleurs, les recourants ne peuvent être suivis lorsqu'ils se prévalent d'une application analogique de l'arrêt du Tribunal fédéral 1C_108/2011. Dans ce cas, la voie du recours au sens de l' art. 82 let . c LTF était ouverte, l'acte attaqué étant l'arrêté de convocation des électeurs, lequel concernait les droits politiques du corps électoral: en revanche, dans la présente cause, la manière dont une motion parlementaire a été traitée par l'exécutif communal relève de la procédure parlementaire communale et ne tombe pas dans le champ d'application de l' art. 82 let . c LTF (cf. consid. 1.2 supra).</w:t>
      </w:r>
    </w:p>
    <w:p>
      <w:r>
        <w:t>Enfin, le recours paraît dénué de pertinence, dans la mesure où la solution retenue par le législatif communal permettra aux citoyens de Sainte-Croix, en votant sur le règlement, de se prononcer sur le principe de l'installation d'un parc éolien à Sainte-Croix, comme le voulaient initialement les recourants.</w:t>
      </w:r>
    </w:p>
    <w:p>
      <w:r>
        <w:rPr>
          <w:b/>
        </w:rPr>
        <w:t>E. 3</w:t>
      </w:r>
    </w:p>
    <w:p>
      <w:r>
        <w:t>Il s'ensuit que le recours doit être rejeté. Les recourants,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