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1C_250/2017 vom 7. September 2017</w:t>
      </w:r>
    </w:p>
    <w:p>
      <w:r>
        <w:t>Bundesgericht, 2017-09-07, DE</w:t>
      </w:r>
    </w:p>
    <w:p>
      <w:r>
        <w:rPr>
          <w:b/>
        </w:rPr>
        <w:t xml:space="preserve">Quelle: </w:t>
      </w:r>
      <w:r>
        <w:t>https://mcp.opencaselaw.ch/entscheid/bger_1C_250_2017</w:t>
      </w:r>
    </w:p>
    <w:p>
      <w:r>
        <w:t>FR: TF 1C_250/2017 du 7 septembre 2017</w:t>
      </w:r>
    </w:p>
    <w:p>
      <w:r>
        <w:t>IT: TF 1C_250/2017 del 7 settembre 2017</w:t>
      </w:r>
    </w:p>
    <w:p>
      <w:pPr>
        <w:pStyle w:val="Heading2"/>
      </w:pPr>
      <w:r>
        <w:t>Erwägungen</w:t>
      </w:r>
    </w:p>
    <w:p>
      <w:r>
        <w:rPr>
          <w:b/>
        </w:rPr>
        <w:t>E. 1</w:t>
      </w:r>
    </w:p>
    <w:p>
      <w:r>
        <w:t>Angefochten ist ein kantonal letztinstanzlicher Entscheid über eine Administrativmassnahme gegen einen Fahrzeuglenker. Dagegen steht die Beschwerde in öffentlich-rechtlichen Angelegenheiten nach Art. 82 ff. BGG offen; ein Ausnahmegrund ist nicht gegeben ( Art. 83 BGG ). Der Beschwerdeführer ist zur Beschwerde befugt ( Art. 89 Abs. 1 BGG ). Die übrigen Sachurteilsvoraussetzungen geben zu keinen Bemerkungen Anlass, sodass auf die Beschwerde einzutreten ist.</w:t>
      </w:r>
    </w:p>
    <w:p>
      <w:r>
        <w:rPr>
          <w:b/>
        </w:rPr>
        <w:t>E. 2.1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bzw. für mindestens vier Monate, wenn in den vorangegangenen zwei Jahren der Ausweis bereits einmal wegen einer schweren oder mittelschweren Widerhandlung entzogen war (Abs. 2 lit. b). Leichte und mittelschwere Widerhandlungen werden von Art. 90 Ziff. 1 SVG als einfache Verkehrsregelverletzungen erfasst ( BGE 135 II 138 E. 2.4 S. 143). Gemäss Art. 16c SVG begeht eine schwere Widerhandlung, wer durch grobe Verletzung von Verkehrsregeln eine ernstliche Gefahr für die Sicherheit anderer hervorruft oder in Kauf nimmt (Abs. 1 lit. a). Nach einer schweren Widerhandlung, welche einer groben Verkehrsregelverletzung im Sinne von Art. 90 Ziff. 2 SVG entspricht ( BGE 132 II 234 E. 3 S. 237), wird der Führerausweis für mindestens drei Monate entzogen (Abs. 2 lit. a). Eine Unterschreitung der gesetzlichen Mindestentzugsdauer ist ausgeschlossen ( Art. 16 Abs. 3 SVG ; zum Ganzen: Urteil 1C_424/2012 vom 14. Januar 2013 E 2.1).</w:t>
      </w:r>
    </w:p>
    <w:p>
      <w:r>
        <w:rPr>
          <w:b/>
        </w:rPr>
        <w:t>E. 2.2</w:t>
      </w:r>
    </w:p>
    <w:p>
      <w:r>
        <w:t>Die mittelschwere Widerhandlung stellt nach Art. 16b Abs. 1 lit. a SVG einen Auffangtatbestand dar. Sie liegt vor, wenn nicht alle privilegierenden Elemente einer leichten Widerhandlung nach Art. 16a Abs. 1 lit. a SVG und nicht alle qualifizierenden Elemente einer schweren Widerhandlung nach Art. 16c Abs. 1 lit. a SVG gegeben sind (Urteil 6A.16/2006 vom 6. April 2006 E. 2.1.1, in: JdT 2006 I S. 442; Botschaft vom 31. März 1999 zur Änderung des Strassenverkehrsgesetzes, BBl 1999 4487).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(Botschaft a.a.O. 4489; Cédric Mizel, Die Grundtatbestände der neuen Warnungsentzüge des SVG und ihre Beziehung zum Strafrecht, in ZStrR 124/2006, S. 31 ff., insbesondere S. 63 f.; zum Ganzen: Urteil 1C_456/2011 vom 28. Februar 2012 E. 2.2).</w:t>
      </w:r>
    </w:p>
    <w:p>
      <w:r>
        <w:rPr>
          <w:b/>
        </w:rPr>
        <w:t>E. 2.3</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 BGE 136 II 447 E. 3.1; 127 II 302 nicht publ. E. 3a; 124 II 103 E. 1c/aa und bb). Auch in diesem Zusammenhang hat er jedoch den eingangs genannten Grundsatz (Vermeiden widersprüchlicher Urteile) gebührend zu berücksichtigen (Urteil 1C_424/2012 vom 14. Januar 2013 E 2.3).</w:t>
      </w:r>
    </w:p>
    <w:p>
      <w:r>
        <w:rPr>
          <w:b/>
        </w:rPr>
        <w:t>E. 3.1</w:t>
      </w:r>
    </w:p>
    <w:p>
      <w:r>
        <w:t>Nach Art. 34 Abs. 4 SVG ist gegenüber allen Strassenbenützern ein ausreichender Abstand zu wahren, namentlich beim Kreuzen und Überholen sowie beim Neben- und Hintereinanderfahren. Der Fahrzeugführer hat beim Hintereinanderfahren einen ausreichenden Abstand zu wahren, so dass er auch bei überraschendem Bremsen des voranfahrenden Fahrzeugs rechtzeitig halten kann ( Art. 12 Abs. 1 VRV ). Was unter einem "ausreichenden Abstand" im Sinne von Art. 34 Abs. 4 SVG zu verstehen ist, hängt von den gesamten Umständen ab, namentlich von den Strassen-, Verkehrs- und Sichtverhältnissen sowie der Beschaffenheit der beteiligten Fahrzeuge. Im Sinne von Faustregeln stellt die Rechtsprechung für Personenwagen auf die Regel "halber Tacho" (entsprechend 1,8 Sekunden) und die "Zwei-Sekunden"-Regel ab (zum Ganzen BGE 131 IV 133 E. 3.1 mit Hinweisen). Diese Distanz entspricht ungefähr der Anhaltestrecke bei plötzlichem ordnungsgemässem Bremsen und Anhalten des vorausfahrenden Personenwagens ( BGE 104 IV 192 E 2b). Für die Beurteilung, ob eine grobe Verkehrsregelverletzung im Sinne von Art. 90 Ziff. 2 SVG anzunehmen ist, wird als Richtschnur die Regel "1/6-Tacho" bzw. Abstand von 0,6 Sekunden herangezogen ( BGE 131 IV 133 E. 3.2.2; Urteil 6B_1030/2010 vom 22. März 2011 E. 3.3.2 mit Hinweisen).</w:t>
      </w:r>
    </w:p>
    <w:p>
      <w:r>
        <w:rPr>
          <w:b/>
        </w:rPr>
        <w:t>E. 3.2</w:t>
      </w:r>
    </w:p>
    <w:p>
      <w:r>
        <w:t>Der Beschwerdeführer hat einen Sicherheitsabstand von bloss 0,56 Sekunden eingehalten und damit, wenn auch knapp, die erwähnte Regel "1/6-Tacho bzw. Abstand von 0,6 Sekunden", verletzt. Die äusseren Umstände waren zudem ungünstig: es herrschte reger Verkehr, und wegen der Dunkelheit und der Nässe waren die Sicht eingeschränkt und der Bremsweg erhöht. Für die Unterschreitung des Sicherheitsabstands war allein der Beschwerdeführer verantwortlich, der (viel) zu nah auf die Fahrzeuge vor ihm aufschloss. Es gibt keine Hinweise dafür, dass andere Fahrzeuge knapp vor ihm in seine Spur eingeschwenkt wären und ihm dadurch jedenfalls zeitweilig die Einhaltung des Sicherheitsabstands verunmöglicht hätten. Der Beschwerdeführer hat damit objektiv eine für die Sicherheit zentrale Verkehrsregel - die Einhaltung eines genügenden Abstandes im Sinne der Regel "halber Tacho bzw. 2 Sekunden" - in grober Weise verletzt und dadurch die Verkehrssicherheit unmittelbar ernsthaft gefährdet. Subjektiv spricht zwar für ihn, dass er nach seiner unwiderlegten Darstellung möglichst schnell an seinen Einsatzort gelangen wollte, um eine 91-jährige Frau aus einem Lift zu befreien. Dies vermag allerdings die Gefahr für Leib und Leben der Verkehrsteilnehmer, die er durch seine verkehrswidrige Fahrweise schuf und in Kauf nahm, nicht zu rechtfertigen. Anders wäre dies allenfalls dann zu beurteilen, wenn der Beschwerdeführer von einem akut lebensbedrohlichen medizinischen Notfall hätte ausgehen müssen, es bei seiner Fahrt somit quasi um Leben und Tod der eingeschlossenen Frau gegangen wäre. Solches behauptet er indessen nicht. Das Verwaltungsgericht hat daher kein Bundesrecht verletzt, indem es seine Fahrweise als schwere Widerhandlung einstufte.</w:t>
      </w:r>
    </w:p>
    <w:p>
      <w:r>
        <w:rPr>
          <w:b/>
        </w:rPr>
        <w:t>E. 3.3</w:t>
      </w:r>
    </w:p>
    <w:p>
      <w:r>
        <w:t>Der Beschwerdeführer wirft dem Verwaltungsgericht vor, es habe den Grundsatz der Einheit der Rechtsordnung verletzt, weil es von der strafrechtlichen Beurteilung abgewichen sei, und seine verfassungsrechtliche Begründungspflicht, weil es das nicht begründet habe.</w:t>
      </w:r>
    </w:p>
    <w:p>
      <w:r>
        <w:t>Das Verwaltungsgericht ist vom gleichen Sachverhalt ausgegangen wie die Staatsanwaltschaft, nur hat es diesen anders gewürdigt. Dazu ist es auch unter dem Gesichtspunkt der Einheit der Rechtsordnung befugt, zumal es seine abweichende Rechtsauffassung sachgerecht und insbesondere auch zutreffend begründet. Die Rüge geht fehl.</w:t>
      </w:r>
    </w:p>
    <w:p>
      <w:r>
        <w:t>Das gilt auch für die Gehörsverweigerungsrüge. Im Strafbefehl vom 15. September 2015 führt die Staatsanwaltschaft mit keinem Wort aus, weshalb sie von einer einfachen Verkehrsregelverletzung ausgeht, obwohl bei einem Sicherheitsabstand zum vorausfahrenden Fahrzeug von bloss 0,56 Sekunden nach der Praxis des Bundesgerichts in der Regel von einer groben Verkehrsregelverletzung auszugehen ist, sofern nicht besondere entlastende Umstände vorliegen. Da die Staatsanwaltschaft somit ihre rechtliche Würdigung des Sachverhalts nicht begründete, brauchte sich das Verwaltungsgericht damit nicht auseinanderzusetzen, bzw. es konnte dies gar nicht tun.</w:t>
      </w:r>
    </w:p>
    <w:p>
      <w:r>
        <w:rPr>
          <w:b/>
        </w:rPr>
        <w:t>E. 3.4</w:t>
      </w:r>
    </w:p>
    <w:p>
      <w:r>
        <w:t>Bei einer schweren Widerhandlung entspricht die Entzugsdauer von 3 Monaten dem gesetzlichen Minimum, die nicht unterschritten werden darf.</w:t>
      </w:r>
    </w:p>
    <w:p>
      <w:r>
        <w:rPr>
          <w:b/>
        </w:rPr>
        <w:t>E. 4</w:t>
      </w:r>
    </w:p>
    <w:p>
      <w:r>
        <w:t>Die Beschwerde ist somit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