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1C_24/2007 vom 15. März 2007</w:t>
      </w:r>
    </w:p>
    <w:p>
      <w:r>
        <w:t>Bundesgericht, 2007-03-15, IT</w:t>
      </w:r>
    </w:p>
    <w:p>
      <w:r>
        <w:rPr>
          <w:b/>
        </w:rPr>
        <w:t xml:space="preserve">Quelle: </w:t>
      </w:r>
      <w:r>
        <w:t>https://mcp.opencaselaw.ch/entscheid/bger_1C_24_2007</w:t>
      </w:r>
    </w:p>
    <w:p>
      <w:r>
        <w:t>FR: TF 1C_24/2007 du 15 mars 2007</w:t>
      </w:r>
    </w:p>
    <w:p>
      <w:r>
        <w:t>IT: TF 1C_24/2007 del 15 marzo 2007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decisione impugnata è stata pronunciata dopo l'entrata in vigore, il 1° gennaio 2007 (RU 2006 I 1205), della legge federale sul Tribunale federale del 17 giugno 2005 (LTF; RS 173.110). Il ricorso, anche se la ricorrente richiama l' art. 88 OG riguardo alla sua legittimazione, è quindi disciplinato dal nuovo diritto ( art. 132 cpv. 1 LTF ).</w:t>
      </w:r>
    </w:p>
    <w:p>
      <w:r>
        <w:rPr>
          <w:b/>
        </w:rPr>
        <w:t>E. 1.2</w:t>
      </w:r>
    </w:p>
    <w:p>
      <w:r>
        <w:t>La ricorrente, patrocinata da un legale di fiducia nella sede cantonale, rileva, senza tuttavia formulare un'esplicita richiesta, che il Tribunale federale, viste le sue condizioni economiche, potrebbe concederle il gratuito patrocinio ( art. 41 e 64 cpv. 2 e 3 LTF ). La domanda, contenuta nel gravame impostato il giorno prima della scadenza del termine ricorsuale ( art. 100 cpv. 1 LTF ), è priva di interesse pratico e attuale, poiché il ricorso non poteva più essere tempestivamente completato. L'istanza non può pertanto essere accolta.</w:t>
      </w:r>
    </w:p>
    <w:p>
      <w:r>
        <w:rPr>
          <w:b/>
        </w:rPr>
        <w:t>E. 1.3</w:t>
      </w:r>
    </w:p>
    <w:p>
      <w:r>
        <w:t>Presentato da una parte che ha partecipato al procedimento, direttamente toccata dalla decisione e avente un interesse degno di protezione al suo annullamento o alla sua modifica ( art. 89 cpv. 1 LTF ), il ricorso, tempestivo ( art. 100 cpv. 1 LTF ) e diretto contro una decisione finale ( art. 90 LTF ) resa in una causa di diritto pubblico ( art. 82 lett. a LTF ) da un'autorità cantonale di ultima istanza (art. 86 cpv. 1 lett. d LTF), è di massima ammissibile.</w:t>
      </w:r>
    </w:p>
    <w:p>
      <w:r>
        <w:rPr>
          <w:b/>
        </w:rPr>
        <w:t>E. 1.4</w:t>
      </w:r>
    </w:p>
    <w:p>
      <w:r>
        <w:t>Nella fattispecie, anche se la ricorrente non si esprime del tutto al riguardo, è manifestamente raggiunto il valore litigioso minimo previsto dall' art. 85 cpv. 1 lett. b LTF . In siffatte circostanze, il ricorso sussidiario in materia costituzionale ai sensi degli art. 113 e segg. LTF, presentato in via subordinata, ma privo di una qualsiasi motivazione circa una lesione di diritti costituzionali ( art. 116 LTF ), neppure indicati dalla ricorrente, è inammissibile.</w:t>
      </w:r>
    </w:p>
    <w:p>
      <w:r>
        <w:rPr>
          <w:b/>
        </w:rPr>
        <w:t>E. 1.5</w:t>
      </w:r>
    </w:p>
    <w:p>
      <w:r>
        <w:t>Il ricorso può essere presentato per violazione del diritto, conformemente a quanto stabilito dagli art. 95 e 96 LTF . Secondo l' art. 42 cpv. 1 e 2 LTF , il ricorso dev'essere motivato in modo sufficiente. Il Tribunale federale esamina in linea di principio solo le censure sollevate; esso non è tenuto a vagliare, come lo farebbe un'autorità di prima istanza, tutte le questioni giuridiche che si pongono, se queste ultime non sono presentate nella sede federale.</w:t>
      </w:r>
    </w:p>
    <w:p>
      <w:r>
        <w:rPr>
          <w:b/>
        </w:rPr>
        <w:t>E. 1.6</w:t>
      </w:r>
    </w:p>
    <w:p>
      <w:r>
        <w:t>Il Tribunale federale fonda la sua sentenza sui fatti accertati dall'autorità inferiore ( art. 105 cpv. 1 LTF ). Può scostarsi da questo accertamento solo qualora esso sia avvenuto in modo manifestamente inesatto o in violazione del diritto ai sensi dell' art. 95 LTF ( art. 105 cpv. 2 LTF ). La parte ricorrente che intende contestare i fatti accertati dall'autorità inferiore deve quindi spiegare, in maniera circostanziata, per quale motivo ritiene che le condizioni di una delle citate eccezioni previste dall' art. 105 cpv. 2 LTF sarebbero realizzate; in caso contrario non si può tener conto di uno stato di fatto diverso da quello posto a fondamento della decisione impugnata (cfr. DTF 130 III 136 consid. 1.4 pag. 140).</w:t>
      </w:r>
    </w:p>
    <w:p>
      <w:r>
        <w:rPr>
          <w:b/>
        </w:rPr>
        <w:t>E. 2.1</w:t>
      </w:r>
    </w:p>
    <w:p>
      <w:r>
        <w:t>Nella decisione impugnata, esposti i numerosi trasferimenti della ricorrente presso i diversi uffici dell'Ammnistrazione cantonale, è stato stabilito che sulla base degli atti di causa, almeno all'inizio, il suo rapporto d'impiego è stato caratterizzato da notevoli turbolenze nei rapporti con i superiori e con i colleghi, rispettivamente da frequenti assenze di breve durata, riconducibili all'ambiente di lavoro. Secondo i giudici cantonali, i referti del medico cantonale evidenziano l'esistenza di un nesso tra il particolare carattere della ricorrente e le situazioni di conflitto che ne sono scaturite sul posto di lavoro da un lato e le assenze di breve durata dall'altro. In particolare, un atto di aperta insubordinazione, dalla quale la ricorrente non è receduta, è degenerato in una situazione di conflitto, che ha indotto l'autorità a trasferirla ad altre funzioni. Dopo oltre un anno e mezzo di assenza, pressoché ininterrotta, la ricorrente ha poi messo in atto uno sciopero della fame. Secondo l'accertamento della Corte cantonale, in quelle circostanze erano dati i presupposti per disdire il rapporto d'impiego con una dipendente riottosa, incapace di integrarsi nelle funzioni alternative, comunque adeguate alla sua preparazione professionale, offertele per porre rimedio a una situazione conflittuale creata dalla ricorrente con il suo comportamento indisciplinato.</w:t>
      </w:r>
    </w:p>
    <w:p>
      <w:r>
        <w:rPr>
          <w:b/>
        </w:rPr>
        <w:t>E. 2.2</w:t>
      </w:r>
    </w:p>
    <w:p>
      <w:r>
        <w:t>La ricorrente, limitandosi a richiamare un rapporto redatto dal responsabile dell'ufficio del governo elettronico e ignorando completamente tutti gli altri a suo sfavore, si limita a sostenere d'aver svolto il proprio lavoro con molto impegno e serietà. Con questo accenno, ella si basa tuttavia su un accertamento dei fatti diverso da quello posto a fondamento del giudizio impugnato ( art. 105 cpv. 1 e 2 LTF ), senza minimamente censurare quello esposto nella criticata sentenza ( art. 97 cpv. 1 LTF ). In tale misura il ricorso è quindi manifestamente inammissibile.</w:t>
      </w:r>
    </w:p>
    <w:p>
      <w:r>
        <w:rPr>
          <w:b/>
        </w:rPr>
        <w:t>E. 2.3</w:t>
      </w:r>
    </w:p>
    <w:p>
      <w:r>
        <w:t>La ricorrente sostiene poi che i diversi cambiamenti e trasferimenti farebbero parte di una non meglio precisata strategia di mobbing. Al riguardo ella si limita tuttavia a meri accenni teorici su questo fenomeno e a rilevare che da un'analisi, ch'ella tralascia tuttavia di esporrre, risulterebbe che l'ipotesi della messa in atto di questa strategia sarebbe attendibile. Ora, anche riguardo a questa censura la ricorrente non si confronta del tutto con i motivi posti a fondamento della criticata decisione, secondo la quale, anche sulla base dell'esame di un certificato medico, è stato accertato che non si poteva in nessun caso ravvisare una siffatta fattispecie. Su questo punto si può rimandare ai motivi della decisione impugnata ( art. 109 cpv. 3 LTF ). Neppure gli accenni di critica alla procedura dinanzi alla Commissione paritetica e alla pretesa deferibilità del contenzioso davanti alla Pretura, non adempiono manifestamente le citate esigenze di motivazione ed essendo inoltre nuovi ( art. 99 LTF ), sono inammissibili.</w:t>
      </w:r>
    </w:p>
    <w:p>
      <w:r>
        <w:rPr>
          <w:b/>
        </w:rPr>
        <w:t>E. 3</w:t>
      </w:r>
    </w:p>
    <w:p>
      <w:r>
        <w:t>Ne segue che il ricorso, manifestamente infondato, dev'essere respinto in quanto ammissibile ( art. 109 cpv. 2 lett. a LTF ). Si può eccezionalmente rinunciare, tenuto conto anche della situazione finanziaria esposta dalla ricorrente, a prelevare una tassa di giustizia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