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1C_249/2022 vom 11. Mai 2022</w:t>
      </w:r>
    </w:p>
    <w:p>
      <w:r>
        <w:t>Bundesgericht, 2022-05-11, DE</w:t>
      </w:r>
    </w:p>
    <w:p>
      <w:r>
        <w:rPr>
          <w:b/>
        </w:rPr>
        <w:t xml:space="preserve">Quelle: </w:t>
      </w:r>
      <w:r>
        <w:t>https://mcp.opencaselaw.ch/entscheid/bger_1C_249_2022</w:t>
      </w:r>
    </w:p>
    <w:p>
      <w:r>
        <w:t>FR: TF 1C_249/2022 du 11 mai 2022</w:t>
      </w:r>
    </w:p>
    <w:p>
      <w:r>
        <w:t>IT: TF 1C_249/2022 del 11 maggio 2022</w:t>
      </w:r>
    </w:p>
    <w:p>
      <w:pPr>
        <w:pStyle w:val="Heading2"/>
      </w:pPr>
      <w:r>
        <w:t>Erwägungen</w:t>
      </w:r>
    </w:p>
    <w:p>
      <w:r>
        <w:rPr>
          <w:b/>
        </w:rPr>
        <w:t>E. 1.1</w:t>
      </w:r>
    </w:p>
    <w:p>
      <w:r>
        <w:t>Gemäss Art. 71 BGG i.V.m. Art. 6 Abs. 1 BZP (SR 273) kann der Richter aus Gründen der Zweckmässigkeit das Verfahren aussetzen, insbesondere wenn das Urteil von der Entscheidung in einem anderen Rechtsstreit beeinflusst werden kann. Die beantragte Sistierung würde jedoch dem im Rechtshilfeverfahren geltenden Gebot der raschen Erledigung ( Art. 17a IRSG [SR 351.1]) zuwiderlaufen. Das Gesuch ist deshalb abzuweisen.</w:t>
      </w:r>
    </w:p>
    <w:p>
      <w:r>
        <w:rPr>
          <w:b/>
        </w:rPr>
        <w:t>E. 1.2</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w:t>
      </w:r>
    </w:p>
    <w:p>
      <w:r>
        <w:t>Ein besonders bedeutender Fall liegt insbesondere vor, wenn Gründe für die Annahme bestehen, dass elementare Verfahrensgrundsätze verletzt worden sind oder das Verfahren im Ausland schwere Mängel aufweist ( Art. 84 Abs. 2 BGG ; BGE 145 IV 99 E. 1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mit Hinweisen).</w:t>
      </w:r>
    </w:p>
    <w:p>
      <w:r>
        <w:t>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 BGE 145 IV 99 E. 1.5 mit Hinweisen).</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1.3</w:t>
      </w:r>
    </w:p>
    <w:p>
      <w:r>
        <w:t>Der Beschwerdeführer bringt zum einen vor, es stelle sich die Frage, inwiefern unter geltendem nationalem und internationalem Recht die Schweiz einen EU-Bürger an einen Drittstaat ausliefern darf. Es sei nicht einzusehen, weshalb die Schweiz die Republik Kroatien nicht anfrage, ob sie die Strafvollstreckung übernehme. Inwiefern der angefochtene Entscheid, der die ihm zugrundeliegenden Rechtsnormen nennt, in dieser Hinsicht gegen Bundesrecht oder Völkerrecht ( Art. 95 lit. a und b BGG ) verstossen soll, legt der Beschwerdeführer jedoch nicht dar und ist auch nicht ersichtlich.</w:t>
      </w:r>
    </w:p>
    <w:p>
      <w:r>
        <w:t>Zum andern macht der Beschwerdeführer geltend, der Strafvollzug im Kosovo bedrohe seine Gesundheit. Das BJ holte von der Republik Kosovo diplomatische Zusicherungen hinsichtlich der menschenrechtskonformen Behandlung des Beschwerdeführers ein. Die Vorinstanz verlangte zusätzliche Garantien und ging dabei sowohl auf die besonderen Bedürfnisse des gesundheitlich angeschlagenen Beschwerdeführers als auch auf die Haftbedingungen in einzelnen Gefängnissen und die abgestuften Haftregime ein. Dabei stützte sie sich auf die neuste bundesgerichtliche Rechtsprechung zur Rechtshilfe an die Republik Kosovo (angefochtener Entscheid, E. 4.4). Darüber hinaus berücksichtigte sie den seither publizierten Bericht des Europäischen Komitees zur Verhütung von Folter vom 23. September 2021, der konkrete Fortschritte zur Verbesserung des Strafvollzugs in der Republik Kosovo aufzeige. Ihr Vorgehen steht in Einklang mit der bundesgerichtlichen Rechtsprechung ( BGE 134 IV 156 E. 6.7 ff.). Wenn sie die Auslieferung nach Abgabe der entsprechenden Garantien durch die Republik Kosovo als zulässig angesehen hat, ist das nicht zu beanstanden. Auf ihre Erwägungen kann verwiesen werden ( Art. 109 Abs. 3 BGG ). Ein besonders bedeutender Fall ist auch insoweit nicht gegeben.</w:t>
      </w:r>
    </w:p>
    <w:p>
      <w:r>
        <w:rPr>
          <w:b/>
        </w:rPr>
        <w:t>E. 2</w:t>
      </w:r>
    </w:p>
    <w:p>
      <w:r>
        <w:t>Auf die Beschwerde ist deshalb nicht einzutreten. Damit wird das Gesuch um aufschiebende Wirkung gegenstandslos. Der Beschwerde kommt im vorliegenden Fall ohnehin schon von Gesetzes wegen aufschiebende Wirkung zu ( Art. 103 Abs. 2 lit. c BGG ).</w:t>
      </w:r>
    </w:p>
    <w:p>
      <w:r>
        <w:t>Bei diesem Ausgang des Verfahrens trägt der Beschwerdeführer die Gerichtskosten ( Art. 66 Abs. 1 BGG ). Zwar beantragt er, er sei von deren Bezahlung zu befreien ( Art. 64 Abs. 1 BGG ). Er legt jedoch seine finanziellen Verhältnisse nicht offen, weshalb das Gesuch abzuweisen ist (vgl. Urteile 2C_297/2020 vom 8. Mai 2020 E. 3; 1B_389/2015 vom 7. Januar 2016 E. 5.4;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