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1C_249/2020 vom 20. Mai 2020</w:t>
      </w:r>
    </w:p>
    <w:p>
      <w:r>
        <w:t>Bundesgericht, 2020-05-20, DE</w:t>
      </w:r>
    </w:p>
    <w:p>
      <w:r>
        <w:rPr>
          <w:b/>
        </w:rPr>
        <w:t xml:space="preserve">Quelle: </w:t>
      </w:r>
      <w:r>
        <w:t>https://mcp.opencaselaw.ch/entscheid/bger_1C_249_2020</w:t>
      </w:r>
    </w:p>
    <w:p>
      <w:r>
        <w:t>FR: TF 1C_249/2020 du 20 mai 2020</w:t>
      </w:r>
    </w:p>
    <w:p>
      <w:r>
        <w:t>IT: TF 1C_249/2020 del 20 maggio 2020</w:t>
      </w:r>
    </w:p>
    <w:p>
      <w:pPr>
        <w:pStyle w:val="Heading2"/>
      </w:pPr>
      <w:r>
        <w:t>Erwägungen</w:t>
      </w:r>
    </w:p>
    <w:p>
      <w:r>
        <w:rPr>
          <w:b/>
        </w:rPr>
        <w:t>E. 1</w:t>
      </w:r>
    </w:p>
    <w:p>
      <w:r>
        <w:t>Die Stimmberechtigten der Stadt Zofingen stimmten an der Urnenabstimmung vom 20. Oktober 2019 der Teilrevision des Bauzonen- und Kulturlandplans mit 2'181 Ja- zu 2'008 Nein-Stimmen zu. Am 23. Oktober 2019 reichte Thomas Felix eine Abstimmungsbeschwerde ein und verlangte eine Nachzählung. Das Departement Volkswirtschaft und Inneres des Kantons Aargau wies mit Entscheid vom 20. November 2019 sowohl das Gesuch um Nachzählung der Stimmzettel als auch die Abstimmungsbeschwerde ab. Dagegen erhob Thomas Felix am 25. November 2019 Beschwerde, welche das Verwaltungsgericht des Kantons Aargau mit Urteil vom 27. März 2020 abwies, soweit es darauf eintrat.</w:t>
      </w:r>
    </w:p>
    <w:p>
      <w:r>
        <w:rPr>
          <w:b/>
        </w:rPr>
        <w:t>E. 2</w:t>
      </w:r>
    </w:p>
    <w:p>
      <w:r>
        <w:t>Thomas Felix führt mit Eingabe vom 16. Mai 2020 Beschwerde in öffentlich-rechtlichen Angelegenheiten gegen das Urteil des Verwaltungsgerichts des Kantons Aargau vom 27. März 2020.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seiner Kritik am Abstimmungsverfahren überhaupt nicht mit der Begründung des Verwaltungsgerichts auseinander. Aus seinen Ausführungen ergibt sich nicht, dass das Verwaltungsgericht bei der Behandlung seiner Beschwerde Recht im Sinne von Art. 42 Abs. 2 BGG verletzt hätte. Er legt nicht im Einzelnen und konkret dar,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t>Somit kann offen bleiben, ob die Beschwerde überhaupt rechtzeitig eingereicht worden ist. Entgegen den Ausführungen des Verwaltungsgerichts in seiner Rechtsmittelbelehrung gilt nämlich gemäss Art. 46 Abs. 2 BGG der Fristenstillstand nicht in Verfahren betreffend Stimmrechtssachen (Art. 82 Bst. c BGG).</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