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1C_248/2016 vom 15. Februar 2017</w:t>
      </w:r>
    </w:p>
    <w:p>
      <w:r>
        <w:t>Bundesgericht, 2017-02-15, DE</w:t>
      </w:r>
    </w:p>
    <w:p>
      <w:r>
        <w:rPr>
          <w:b/>
        </w:rPr>
        <w:t xml:space="preserve">Quelle: </w:t>
      </w:r>
      <w:r>
        <w:t>https://mcp.opencaselaw.ch/entscheid/bger_1C_248_2016</w:t>
      </w:r>
    </w:p>
    <w:p>
      <w:r>
        <w:t>FR: TF 1C_248/2016 du 15 février 2017</w:t>
      </w:r>
    </w:p>
    <w:p>
      <w:r>
        <w:t>IT: TF 1C_248/2016 del 15 febbraio 2017</w:t>
      </w:r>
    </w:p>
    <w:p>
      <w:pPr>
        <w:pStyle w:val="Heading2"/>
      </w:pPr>
      <w:r>
        <w:t>Erwägungen</w:t>
      </w:r>
    </w:p>
    <w:p>
      <w:r>
        <w:rPr>
          <w:b/>
        </w:rPr>
        <w:t>E. 1.1</w:t>
      </w:r>
    </w:p>
    <w:p>
      <w:r>
        <w:t>Dem angefochtenen Urteil der Vorinstanz liegt eine raumplanungsrechtliche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hatten im vorinstanzlichen Verfahren Parteistellung. Ihre Parzelle Gbbl. Nr. 889 soll gemäss Zonenplan 2014 der Quartierplanpflicht unterstellt und der an ihrer Parzelle vorbeiführende Land- und Forstwirtschaftsweg soll gemäss GEP 2014 aufgehoben werden. Die Beschwerdeführer sind daher durch das angefochtene Urteil besonders berührt und haben ein schutzwürdiges Interesse an dessen Aufhebung. Sie sind grundsätzlich zur Beschwerdeführung berechtigt (vgl. Art. 89 Abs. 1 BGG ). Auf die Beschwerde ist unter Vorbehalt der nachfolgenden Ausführungen einzutreten.</w:t>
      </w:r>
    </w:p>
    <w:p>
      <w:r>
        <w:rPr>
          <w:b/>
        </w:rPr>
        <w:t>E. 1.2.1</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 gilt eine qualifizierte Rügepflicht ( Art. 106 Abs. 2 BGG ; vgl. BGE 138 I 274 E. 1.6 S. 281 f. ; 136 I 229 E. 4.1 S. 235). Das Bundesgericht prüft nur klar und detailliert erhobene und, soweit möglich, belegte Rügen.</w:t>
      </w:r>
    </w:p>
    <w:p>
      <w:r>
        <w:rPr>
          <w:b/>
        </w:rPr>
        <w:t>E. 1.2.2</w:t>
      </w:r>
    </w:p>
    <w:p>
      <w:r>
        <w:t>Die Beschwerdeführer rügen eine unrichtige Feststellung des Sachverhalts im Sinne von Art. 97 Abs. 1 BGG . Nach dieser Bestimmung kann die Verletzung des Sachverhalts nur gerügt werden, wenn sie offensichtlich unrichtig ist oder auf einer Rechtsverletzung im Sinne von Art. 95 BGG beruht und wenn die Behebung des Mangels für den Ausgang des Verfahrens entscheidend sein kann.</w:t>
      </w:r>
    </w:p>
    <w:p>
      <w:r>
        <w:t>Die Beschwerdeführer legen nicht substanziiert dar, inwiefern die Vorinstanz bei der Sachverhaltsfeststellung in Willkür verfallen sein soll und inwiefern allfällige unrichtige Feststellungen für den Ausgang des Verfahrens relevant sein könnten. In diesem Punkt ist auf die Beschwerde nicht einzutreten.</w:t>
      </w:r>
    </w:p>
    <w:p>
      <w:r>
        <w:rPr>
          <w:b/>
        </w:rPr>
        <w:t>E. 2.1</w:t>
      </w:r>
    </w:p>
    <w:p>
      <w:r>
        <w:t>Die Beschwerdeführer rügen, dass ihre Parzelle Gbbl. Nr. 889 gleichzeitig mit den Parzellen Gbbl. Nrn. 1862, 1813, 15, 17 und Teilen von 852 im Zonenplan 2014 mit einer Quartierplanpflicht überlagert werde. Es verstosse gegen Art. 18 Abs. 1 des Eisenbahngesetzes vom 20. Dezember 1957 (EBG; SR 742.101), dass der Bahnübergang und die Geleiseanlagen unter die Quartierplanpflicht gestellt worden seien. Ein eisenbahnrechtliches Plangenehmigungsverfahren sei vorliegend zwingend.</w:t>
      </w:r>
    </w:p>
    <w:p>
      <w:r>
        <w:rPr>
          <w:b/>
        </w:rPr>
        <w:t>E. 2.2</w:t>
      </w:r>
    </w:p>
    <w:p>
      <w:r>
        <w:t>Das BAV hält in seiner Eingabe an das Bundesgericht vom 23. Dezember 2016 fest, eine Änderung oder eine allfällige Umgestaltung eines Bahnübergangs oder einer Kreuzung Bahn - Strasse setze nicht zwingend ein bundesrechtliches Verfahren gestützt auf das EBG voraus. Solche Bauvorhaben könnten auch Gegenstand eines kantonalen Verfahrens bilden.</w:t>
      </w:r>
    </w:p>
    <w:p>
      <w:r>
        <w:rPr>
          <w:b/>
        </w:rPr>
        <w:t>E. 2.3</w:t>
      </w:r>
    </w:p>
    <w:p>
      <w:r>
        <w:t>Bauten und Anlagen sind dann im eisenbahn- und damit bundesrechtlichen Plangenehmigungsverfahren zu bewilligen, wenn sie ganz oder überwiegend dem Bau und Betrieb der Eisenbahn dienen ( Art. 18 Abs. 1 EBG ). Dem kantonalen Recht unterstehen hingegen die Erstellung oder Änderung von Bauten und Anlagen, die nicht ganz oder überwiegend dem Bahnbetrieb dienen (sog. Nebenanlage; vgl. Art. 18m Abs. 1 EBG ).</w:t>
      </w:r>
    </w:p>
    <w:p>
      <w:r>
        <w:t>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Kreuzungen zwischen Bahn und Strasse dienen naturgemäss zugleich dem Bahnbetrieb wie auch dem Strassenverkehr. Es handelt sich damit um sog. gemischte Anlagen. Erscheinen diese baulich, betrieblich und funktionell als Einheit, ist nach der bundesgerichtlichen Rechtsprechung eine gesonderte Prüfung der Zweckbestimmung einzelner Bauteile abzulehnen; vielmehr sind sie in einem einzigen Verfahren zu bewilligen, wobei das eisenbahnrechtliche Plangenehmigungsverfahren nur dann zum Zuge kommt, wenn das Gesamtbauwerk überwiegend dem Bahnbetrieb dient ( BGE 127 II 227 E. 4 S. 234 ff.).</w:t>
      </w:r>
    </w:p>
    <w:p>
      <w:r>
        <w:rPr>
          <w:b/>
        </w:rPr>
        <w:t>E. 2.4</w:t>
      </w:r>
    </w:p>
    <w:p>
      <w:r>
        <w:t>Im zu beurteilenden Fall stehen die im Strassenbereich beabsichtigten Änderungen im Vordergrund. Das Projekt richtet sich offenkundig in erster Linie nach den Bedürfnissen der strassenmässigen Erschliessung des Gewerbelandes. Dies gilt auch mit Blick auf die Veränderungen, die im Bahnbereich vorgesehen sind (neue Strassenführung vor dem Bahnübergang); diese sind untergeordneter Natur (vgl. zum Ganzen auch BGE 127 II 227 E. 5 S. 236 f.).</w:t>
      </w:r>
    </w:p>
    <w:p>
      <w:r>
        <w:t>Ein bundesrechtliches Plangenehmigungsverfahren ist damit vorliegend nicht erforderlich, sondern das Projekt untersteht gestützt auf Art. 18m Abs. 1 EBG kantonalem Recht. Art. 18 Abs. 1 EBG ist mithin entgegen der Auffassung der Beschwerdeführer nicht anwendbar und es ist nicht zu beanstanden, dass der Bahnübergang und die Geleiseanlagen unter die kantonalrechtliche Quartierplanpflicht gestellt worden sind.</w:t>
      </w:r>
    </w:p>
    <w:p>
      <w:r>
        <w:rPr>
          <w:b/>
        </w:rPr>
        <w:t>E. 3.1</w:t>
      </w:r>
    </w:p>
    <w:p>
      <w:r>
        <w:t>Die Beschwerdeführer machen geltend, das Quartierplaninstrument werde von der Gemeinde Rhäzüns willkürlich und rechtsungleich eingesetzt. Bei der Totalrevision der Ortsplanung 2009 sei Parzelle Gbbl. Nr. 15 ohne Quartierplanpflicht von der Landwirtschaftszone in die Gewerbezone versetzt worden. In der Folge sei wiederum ohne Quartierplanpflicht von Parzelle Gbbl. Nr. 15 die Parzelle Gbbl. Nr. 1862 abparzelliert und veräussert worden. Die bestehende Zufahrt zur Parzelle Gbbl. Nr. 889 und zum Bahnübergang sei ebenfalls ohne Quartierplanpflicht von der Parzelle Gbbl. Nr. 15 abparzelliert und der Bahnparzelle Gbbl. Nr. 17 zugewiesen worden. Vor dieser Zerstückelung sei die RhB alleinige Grundeigentümerin gewesen. Nachdem Parzelle Gbbl. Nr. 15 (neu: Parzellen Gbbl. Nrn. 15, 17 und 1862) zerstückelt und Parzelle Gbbl. Nr. 1862 bereits vollständig überbaut worden sei, jetzt noch eine Quartierplanpflicht festzusetzen, sei willkürlich ( Art. 9 BV ) und rechtsungleich ( Art. 8 BV ).</w:t>
      </w:r>
    </w:p>
    <w:p>
      <w:r>
        <w:rPr>
          <w:b/>
        </w:rPr>
        <w:t>E. 3.2</w:t>
      </w:r>
    </w:p>
    <w:p>
      <w:r>
        <w:t>Die Vorinstanz hat zusammenfassend erwogen, der Entscheid über die Quartierplanpflicht stelle einen Ermessensentscheid der Gemeinde dar. Im vorliegenden Fall solle die Umsetzung der geplanten Erschliessung aufgrund einer Gesamtbetrachtung erfolgen, weswegen es aus Sicht der Gemeinde einem öffentlichen Interesse entspreche, die von der neuen Erschliessung betroffenen Parzellen mit einer Quartierplanpflicht zu belegen.</w:t>
      </w:r>
    </w:p>
    <w:p>
      <w:r>
        <w:rPr>
          <w:b/>
        </w:rPr>
        <w:t>E. 3.3</w:t>
      </w:r>
    </w:p>
    <w:p>
      <w:r>
        <w:t>Gemäss Art. 51 Abs. 1 des Raumplanungsgesetzes des Kantons Graubünden vom 6. Dezember 2004 (KRG/GR; BR 801.100) regelt der Quartierplan die Gestaltung und Erschliessung von Bauzonen mit Folgeplanung oder von weiteren Teilgebieten der Bauzone im Detail.</w:t>
      </w:r>
    </w:p>
    <w:p>
      <w:r>
        <w:rPr>
          <w:b/>
        </w:rPr>
        <w:t>E. 3.4</w:t>
      </w:r>
    </w:p>
    <w:p>
      <w:r>
        <w:t>Die Beschwerdeführer rügen keine willkürliche Anwendung kantonalen Rechts, sondern behaupten einzig, die Festsetzung der Quartierplanpflicht sei willkürlich und rechtsungleich, weil vorgängig bereits Umzonungen und Neuzuteilungen von Grundstücken ohne Quartierplanpflicht erfolgt seien. Die Beschwerdeführer übersehen mit ihrer Argumentation, dass sich die vorliegende Situation nicht mit den von ihnen geschilderten Sachverhalten vergleichen lässt.</w:t>
      </w:r>
    </w:p>
    <w:p>
      <w:r>
        <w:t>In Zusammenhang mit der neu geplanten Erschliessung über die Parzellen Gbbl. Nrn. 1813 und 1862 stellen sich zahlreiche Fragen und es besteht mutmasslich die Notwendigkeit von Rechtseinräumungen. Hierfür ist das Quartierplanverfahren geeignet. Die Gemeinde hat das ihr bei der Ortsplanung zukommende Planungsermessen nicht verletzt, indem sie die betreffenden Parzellen der Quartierplanpflicht unterstellt hat. Diese ist mithin nicht willkürlich festgesetzt worden. Ebenso wenig liegt nach dem Gesagten ein Verstoss gegen die Rechtsgleichheit vor.</w:t>
      </w:r>
    </w:p>
    <w:p>
      <w:r>
        <w:rPr>
          <w:b/>
        </w:rPr>
        <w:t>E. 4.1</w:t>
      </w:r>
    </w:p>
    <w:p>
      <w:r>
        <w:t>Die Beschwerdeführer wenden sich gegen die Aufhebung des Land- und Forstwirtschaftswegs und machen zusammenfassend geltend, ohne Vorliegen eines rechtskräftigen Strassenbauprojekts verfüge der Kanton über keine rechtliche Grundlage, um die Aufhebung des Land- und Forstwirtschaftswegs zu verlangen. Die Aufhebung sei unverhältnismässig und mit dem Grundsatz der haushälterischen Nutzung des Bodens nicht zu vereinbaren. Zudem zeige ein Vergleich mit ähnlichen Einfahrten, dass hier ein Verstoss gegen die Rechtsgleichheit ( Art. 8 BV ) vorliege.</w:t>
      </w:r>
    </w:p>
    <w:p>
      <w:r>
        <w:rPr>
          <w:b/>
        </w:rPr>
        <w:t>E. 4.2</w:t>
      </w:r>
    </w:p>
    <w:p>
      <w:r>
        <w:t>Die Vorinstanz hat erwogen, der Entscheid, wo Bauland an die Kantonsstrasse angeschlossen werde, sei grundsätzlich Sache der Gemeinde. Diese habe einen Ermessensentscheid zu fällen, der eine Interessenabwägung zu enthalten habe. Dabei seien auch die Strassengesetzgebung und deren Vorschriften, insbesondere die Verkehrssicherheit, zu berücksichtigen (vgl. Art. 52 Abs. 4 des Strassengesetzes des Kantons Graubünden vom 1. September 2005 [StrG/GR; BR 807.100]). So wie sich die Sachlage vorliegend gestalte, wäre es wohl nicht ausgeschlossen gewesen, die Zufahrt von Parzelle Gbbl. Nr. 889 und zum Bahnübergang weiterhin über das Trassee des bisher bestehenden Forst- und Landwirtschaftswegs zu führen und diesen umzuklassieren. Das kantonale Strassengesetz sehe aber zu Recht vor, dass mit Anschlüssen an die Kantonsstrasse ein möglichst grosses Gebiet erschlossen werde (Art. 51 Abs. 1 StrG/GR). Der Anschluss des Land- und Forstwirtschaftswegs und der Anschluss an die Kantonsstrasse über die Strassenparzelle Gbbl. Nr. 1813 lägen nur rund 75 Meter auseinander. Im Sinne des Konzentrationsprinzips bzw. der Bündelung von Zufahrten auf die Kantonsstrasse sei dem Argument der Verkehrssicherheit im Rahmen der vorliegenden Interessenabwägung Priorität einzuräumen. So sehe Art. 54 Abs. 2 StrG/GR ausdrücklich vor, dass die Anschlussmöglichkeiten aus Gründen der Verkehrssicherheit beschränkt werden könnten, wenn zwei oder mehrere Anschlüsse auf engem Raum vorhanden seien. Zwar sei die Kantonsstrasse in diesem Strassenabschnitt gerade und übersichtlich und selbst wenn eine Geschwindigkeitsbeschränkung auf 50 oder 60 Kilometer pro Stunde eingeführt werden sollte, hätten die Interessen an der separaten Zufahrt etwa aufgrund eines - hier ohnehin fast obsoleten - haushälterischen Umgangs mit dem Boden hinter dem Argument der Verkehrssicherheit zurückzutreten.</w:t>
      </w:r>
    </w:p>
    <w:p>
      <w:r>
        <w:t>Die von den Beschwerdeführern unter dem Gesichtspunkt der Rechtsgleichheit erwähnten direkten Zufahrten gingen entweder auf altrechtliche Bewilligungen zurück oder würden im Falle von neuen Anschlüssen mit der Topografie der damit erschlossenen Parzellen zusammenhängen, welche eine anderweitige Erschliessung etwa aufgrund eines zu hohen Gefälles nicht erlaubt hätte. Zudem handle es sich bei diesen Zufahrten regelmässig nicht um gewerblich genutzte Parzellen, sodass sie per se einem weit weniger starken Verkehrsaufkommen ausgesetzt seien. Da entlang der Kantonsstrasse somit keine vergleichbare Situation vorliege, sei eine rechtsungleiche Behandlung zur Erschliessung von Parzelle Gbbl. Nr. 889 nicht zu erkennen. Ohnehin komme dem Gleichbehandlungsgrundsatz im Verfahren der Ortsplanung nur abgeschwächte Bedeutung zu.</w:t>
      </w:r>
    </w:p>
    <w:p>
      <w:r>
        <w:rPr>
          <w:b/>
        </w:rPr>
        <w:t>E. 4.3</w:t>
      </w:r>
    </w:p>
    <w:p>
      <w:r>
        <w:t>Die Ausführungen der Vorinstanz überzeugen. Eine willkürliche Anwendung kantonalen Rechts, d.h. des StrG/GR, wird von den Beschwerdeführern nicht substanziiert gerügt und ist auch nicht ersichtlich.</w:t>
      </w:r>
    </w:p>
    <w:p>
      <w:r>
        <w:t>Die Umzonung der Parzelle Gbbl. Nr. 889 von der Nichtbauzone in die Gewerbezone verlangte eine Neubeurteilung der Erschliessung, bei welcher gestützt auf die von der Vorinstanz angeführten Grundlagen des kantonalen Strassengesetzes dem Argument der Verkehrssicherheit durch die Bündelung der Zufahrten besonderes Gewicht beigemessen werden durfte. Da die Parzelle Gbbl. Nr. 1862 bereits überbaut ist, stellt die geplante Erschliessungsstrasse über diese Parzelle entlang der Bahngeleise faktisch keine Verringerung von Gewerbeland dar, sodass auch der von den Beschwerdeführern angeführten haushälterischen Bodennutzung vorliegend kein entscheidendes Gewicht zukommt.</w:t>
      </w:r>
    </w:p>
    <w:p>
      <w:r>
        <w:t>Bei den von den Beschwerdeführern genannten Vergleichsfällen schliesslich handelt es sich, wie von der Vorinstanz aufgezeigt, nicht um vergleichbare Situationen. Es liegt keine Verletzung des Gebots der Rechtsgleichheit vor.</w:t>
      </w:r>
    </w:p>
    <w:p>
      <w:r>
        <w:rPr>
          <w:b/>
        </w:rPr>
        <w:t>E. 5</w:t>
      </w:r>
    </w:p>
    <w:p>
      <w:r>
        <w:t>Die Beschwerde ist abzuweisen, soweit darauf eingetreten werden kann. Bei diesem Verfahrensausgang sind die Gerichtskosten den Beschwerdeführern aufzuerlegen ( Art. 66 Abs. 1 und 5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