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248/2014 vom 26. Mai 2014</w:t>
      </w:r>
    </w:p>
    <w:p>
      <w:r>
        <w:t>Bundesgericht, 2014-05-26, FR</w:t>
      </w:r>
    </w:p>
    <w:p>
      <w:r>
        <w:rPr>
          <w:b/>
        </w:rPr>
        <w:t xml:space="preserve">Quelle: </w:t>
      </w:r>
      <w:r>
        <w:t>https://mcp.opencaselaw.ch/entscheid/bger_1C_248_2014</w:t>
      </w:r>
    </w:p>
    <w:p>
      <w:r>
        <w:t>FR: TF 1C 248/2014 du 26 mai 2014</w:t>
      </w:r>
    </w:p>
    <w:p>
      <w:r>
        <w:t>IT: TF 1C 248/2014 del 26 maggio 2014</w:t>
      </w:r>
    </w:p>
    <w:p>
      <w:pPr>
        <w:pStyle w:val="Heading2"/>
      </w:pPr>
      <w:r>
        <w:t>Regeste</w:t>
      </w:r>
    </w:p>
    <w:p>
      <w:r>
        <w:t>Entraide judiciaire internationale en matière pénale aux Etats-Unis d'Amérique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(pour ce qui concerne les recourants) sur la documentation relative à deux comptes bancaires déterminé, le cas ne revêt en soi aucune importance particulière.</w:t>
      </w:r>
    </w:p>
    <w:p>
      <w:r>
        <w:rPr>
          <w:b/>
        </w:rPr>
        <w:t>E. 1.3</w:t>
      </w:r>
    </w:p>
    <w:p>
      <w:r>
        <w:t>Les recourants relèvent qu'un jugement d'acquittement a été prononcé à Londres le 10 décembre 2013 en faveur de B.________. En vertu du principe "ne bis in idem", tel qu'il découle de l'art. 54 de la Convention d'application de l'Accord Schengen (CAAS), la Suisse serait liée par cette décision de la même manière que par un acquittement prononcé dans l'Etat requis au sens de l' art. 3 al. 1 let. b TEJUS . Ils y voient une question de principe. Il n'en est rien: si la disposition précitée impose à un Etat membre de tenir compte d'un jugement d'acquittement rendu dans un autre Etat membre, elle n'empêche pas une transmission de renseignements en exécution d'une demande d'entraide judiciaire. On peut certes se demander si la Suisse pourrait être amenée à refuser sa collaboration en application des art. 54 CAAS et 3 al. 1 let. b TEJUS lorsqu'il apparaît d'emblée que les personnes et les faits poursuivis sont rigoureusement identiques à ceux qui ont déjà fait l'objet d'un jugement d'acquittement prononcé dans un Etat tiers. Tel n'est toutefois pas le cas en l'occurrence, dans la mesure où la procédure pénale aux Etats-Unis est également dirigée contre des personnes distinctes, soit notamment la société H.________, ses responsables et ses employés. Dans ce cas, l'application du principe "ne bis in idem" doit être laissée à l'appréciation - et à la responsabilité - de l'Etat requérant. Il n'y a dès lors aucune question de principe à résoudre sur ce point.</w:t>
      </w:r>
    </w:p>
    <w:p>
      <w:r>
        <w:rPr>
          <w:b/>
        </w:rPr>
        <w:t>E. 1.4</w:t>
      </w:r>
    </w:p>
    <w:p>
      <w:r>
        <w:t>Les recourants reprochent au MPC de ne pas leur avoir notifié la décision d'entrée en matière de l'OFJ. Ils considèrent en outre que la présence simultanée d'enquêteurs d'Etats différents (Etats-Unis, Norvège) autorisés à assister aux actes d'entraide, présenterait un risque d'échange incontrôlé d'informations.</w:t>
      </w:r>
    </w:p>
    <w:p>
      <w:r>
        <w:rPr>
          <w:b/>
        </w:rPr>
        <w:t>E. 1.4.1</w:t>
      </w:r>
    </w:p>
    <w:p>
      <w:r>
        <w:t>Le défaut de notification de l'ordonnance d'entrée en matière ne peut être assimilé à un défaut grave. En effet, dans la mesure où des précautions suffisantes ont été prises conformément à la pratique constante, la présence d'enquêteurs étrangers n'était pas susceptible de causer aux recourants un préjudice immédiat et irréparable au sens de l' art. 80e al. 2 let. b EIMP . Au demeurant, les recourants ont eu l'occasion de faire valoir leurs arguments à l'encontre de la manière de procéder du MPC, dans le cadre de leur recours contre la décision de clôture. L'irrégularité alléguée ne constitue dès lors pas un motif d'entrer en matière.</w:t>
      </w:r>
    </w:p>
    <w:p>
      <w:r>
        <w:rPr>
          <w:b/>
        </w:rPr>
        <w:t>E. 1.4.2</w:t>
      </w:r>
    </w:p>
    <w:p>
      <w:r>
        <w:t>Chargé d'exécuter des demandes d'entraide judiciaire émanant de plusieurs pays, le MPC a autorisé la venue simultanée d'enquêteurs étrangers. Chacun d'entre eux a signé un engagement tendant à ne pas divulguer prématurément des informations; la prise de notes ou de copies a en outre été interdite. Ce mode de procéder est conforme à la pratique relative à l' art 65a EIMP , et les recourants ne contestent d'ailleurs pas que les conditions posées à l' art. 65a al. 2 EIMP étaient bien réalisées en l'espèce.</w:t>
      </w:r>
    </w:p>
    <w:p>
      <w:r>
        <w:rPr>
          <w:b/>
        </w:rPr>
        <w:t>E. 1.5</w:t>
      </w:r>
    </w:p>
    <w:p>
      <w:r>
        <w:t>Du point de vue de l'autorité suisse d'exécution, la procédure suivie permet d'éviter une transmission intempestive des informations recueillies en Suisse. Il n'est en revanche pas de la compétence de l'autorité d'exécution de prendre des mesures afin d'éviter que des autorités étrangères communiquent entre elles (quelles que soient les circonstances d'un tel échange) des informations qu'elles ont obtenues sans le concours de la Suisse. Il n'y a pas non plus de question de principe à ce propos.</w:t>
      </w:r>
    </w:p>
    <w:p>
      <w:r>
        <w:rPr>
          <w:b/>
        </w:rPr>
        <w:t>E. 2</w:t>
      </w:r>
    </w:p>
    <w:p>
      <w:r>
        <w:t>Sur le vu de ce qui précède, le recours est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