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248/2012 vom 1. Oktober 2012</w:t>
      </w:r>
    </w:p>
    <w:p>
      <w:r>
        <w:t>Bundesgericht, 2012-10-01, FR</w:t>
      </w:r>
    </w:p>
    <w:p>
      <w:r>
        <w:rPr>
          <w:b/>
        </w:rPr>
        <w:t xml:space="preserve">Quelle: </w:t>
      </w:r>
      <w:r>
        <w:t>https://mcp.opencaselaw.ch/entscheid/bger_1C_248_2012</w:t>
      </w:r>
    </w:p>
    <w:p>
      <w:r>
        <w:t>FR: TF 1C 248/2012 du 1 octobre 2012</w:t>
      </w:r>
    </w:p>
    <w:p>
      <w:r>
        <w:t>IT: TF 1C 248/2012 del 1 ottobre 2012</w:t>
      </w:r>
    </w:p>
    <w:p>
      <w:pPr>
        <w:pStyle w:val="Heading2"/>
      </w:pPr>
      <w:r>
        <w:t>Regeste</w:t>
      </w:r>
    </w:p>
    <w:p>
      <w:r>
        <w:t>permis de construire; qualité pour recourir | Aménagement du territoire et droit public des constructions</w:t>
      </w:r>
    </w:p>
    <w:p>
      <w:pPr>
        <w:pStyle w:val="Heading2"/>
      </w:pPr>
      <w:r>
        <w:t>Erwägungen</w:t>
      </w:r>
    </w:p>
    <w:p>
      <w:r>
        <w:rPr>
          <w:b/>
        </w:rPr>
        <w:t>E. 1.1</w:t>
      </w:r>
    </w:p>
    <w:p>
      <w:r>
        <w:t>L'arrêt attaqué est une décision finale ( art. 90 LTF ) prise en dernière instance cantonale ( art. 86 al. 1 let . d LTF) dans le domaine du droit public des constructions ( art. 82 let. a LTF ). L'instance inférieure a dénié à A.________, société anonyme en formation, la qualité d'être partie à la procédure et a en conséquence déclaré irrecevable son recours. La société anonyme en formation et son administratrice sont habilitées à recourir contre un telle décision, dans la mesure où elles affirment avoir été privées de la possibilité de recourir sur le plan cantonal ( art. 89 al. 1 let. a LTF ). Leur recours est en principe recevable comme recours en matière de droit public selon les art. 82 ss LTF , aucune des exceptions prévues à l' art. 83 LTF n'étant réalisée.</w:t>
      </w:r>
    </w:p>
    <w:p>
      <w:r>
        <w:rPr>
          <w:b/>
        </w:rPr>
        <w:t>E. 1.2</w:t>
      </w:r>
    </w:p>
    <w:p>
      <w:r>
        <w:t>L'arrêt attaqué contient deux motivations indépendantes qui, toutes deux, ont conduit à l'irrecevabilité du recours cantonal. En pareil cas, conformément à la jurisprudence relative à l' art. 42 al. 2 LTF , il incombe au recourant, sous peine d'irrecevabilité, de démontrer que chacune d'elles est contraire au droit ( ATF 133 IV 119 consid. 6.3 p. 120 s.; 132 I 13 consid. 3 p. 17). En outre, lorsque l'une de ces motivations permet de confirmer la décision entreprise, le recours doit être rejeté ( ATF 133 III 221 consid. 7 p. 228).</w:t>
      </w:r>
    </w:p>
    <w:p>
      <w:r>
        <w:rPr>
          <w:b/>
        </w:rPr>
        <w:t>E. 2</w:t>
      </w:r>
    </w:p>
    <w:p>
      <w:r>
        <w:t>Les recourantes critiquent d'abord, sous l'angle de l' art. 16 al. 1 et 3 LPA /VD, l'obligation qui a été faite à B.________ de produire une procuration pour représenter la société anonyme en formation. Ce faisant, les recourantes invoquent une violation du droit cantonal.</w:t>
      </w:r>
    </w:p>
    <w:p>
      <w:r>
        <w:rPr>
          <w:b/>
        </w:rPr>
        <w:t>E. 2.1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Dans ce contexte, le recourant est soumis aux exigences accrues de motivation de l' art. 106 al. 2 LTF . En outre, pour qu'une décision soit annulée au titre de l'arbitraire, il ne suffit pas qu'elle se fonde sur une motivation insoutenable; encore faut-il qu'elle apparaisse arbitraire dans son résultat (136 III 552 consid. 4.2 p. 560).</w:t>
      </w:r>
    </w:p>
    <w:p>
      <w:r>
        <w:rPr>
          <w:b/>
        </w:rPr>
        <w:t>E. 2.2</w:t>
      </w:r>
    </w:p>
    <w:p>
      <w:r>
        <w:t>Lorsque l'autorité saisie éprouve des doutes sur l'existence de la personne morale partie à la procédure et, par voie de conséquence, sur les pouvoirs de représentation de celle-ci, elle peut l'interpeller sur ce point et exiger une procuration écrite (cf. art. 11 al. 2 PA ; Kiener/ Rütsche/ Kuhn, Öffentliches Verfahrensrecht, n. 603). Dans ce domaine, les parties sont soumises à un véritable devoir de collaboration, dont la sanction peut être l'irrecevabilité de l'acte en question (cf. art. 13 PA ; Kiener/ Rütsche/Kuhn, op. cit., n. 548). Ces principes, également connus en procédure civile ( art. 132 al. 1 CPC ) et devant le Tribunal fédéral ( art. 42 al. 5 LTF ), sont concrétisés en droit cantonal vaudois par l'art. 16 en lien avec l' art. 27 al. 5 LPA /VD. Aux termes de ces dispositions, l'autorité impartit un bref délai à la partie pour justifier de ses pouvoirs par une procuration écrite, à défaut de quoi son acte est réputé retiré. En l'espèce, les recourantes ne soutiennent pas que ces dispositions de droit cantonal auraient été appliquées de manière arbitraire ni que la solution de la cour cantonale serait choquante ou inique. Elles ne prétendent pas non plus que leur application serait constitutive d'un formalisme excessif proscrit par l' art. 29 al. 1 Cst. Dans un style essentiellement appellatoire, elles se contentent d'avancer que B.________ n'avait pas à produire de procuration pour représenter la société en formation, puisqu'elle était de plein droit l'unique représentante de celle-ci. Cette dernière affirmation ne repose cependant pas sur les constatations de fait de l'autorité cantonale: cette instance a retenu que A.________ n'avait produit ni la prétendue réquisition d'inscription au registre du commerce du canton de Vaud, ni l'acte constitutif en la forme authentique, ni ses statuts qui auraient permis de constater que B.________ était effectivement habilitée à la représenter. Devant le Tribunal fédéral, les recourantes admettent ne pas avoir produit ces documents, estimant que ceux-ci n'avaient aucune pertinence pour l'issue du litige. Or, on ne saurait raisonnablement contester que savoir si une partie possède la qualité pour recourir - ou en est dépourvue - constitue un point absolument déterminant pour l'issue d'une procédure. Pour le surplus, le procédé adopté par la cour cantonale pour lever les incertitudes relatives à l'existence de la personne morale et aux pouvoirs de représentation de B.________ n'apparaît pas contraire au sens et au but des art. 16 et 27 LPA /VD, ce d'autant qu'il existait des informations contradictoires sur le lieu d'inscription de la société en formation. Les recourantes n'ont sur ce point pas été en mesure d'indiquer si la société serait en définitive inscrite au registre du commerce de Genève - comme prévu à l'origine - ou à celui du canton de Vaud - comme annoncé dans leur détermination du 14 mars 2012. En tout état, elles ne prétendent pas que le délai octroyé par la cour cantonale pour fournir les informations utiles les auraient empêchées d'exercer leurs droits de procédure. Par conséquent, la décision d'irrecevabilité résiste au grief d'arbitraire et le recours doit être rejeté sur ce point.</w:t>
      </w:r>
    </w:p>
    <w:p>
      <w:r>
        <w:rPr>
          <w:b/>
        </w:rPr>
        <w:t>E. 2.3</w:t>
      </w:r>
    </w:p>
    <w:p>
      <w:r>
        <w:t>Les recourantes soutiennent également que la capacité pour agir aurait dû être reconnue à la seule B.________, celle-ci ayant agi en son propre nom dans la procédure. Sur ce point, la cour cantonale a retenu que la société en formation avait été "représentée" par B.________ au stade de l'opposition, puis qu'elle avait "agi" par B.________ pour interjeter recours auprès d'elle; elle a précisé que l'acte de recours cantonal était "très clair" et que, bien que signé par B.________, il n'avait pas été déposé au nom de celle-ci, mais "uniquement au nom et pour le compte de A.________ en formation". La décision cantonale comporte d'ailleurs comme seule partie recourante "A.________, représentée par B.________". Devant le Tribunal fédéral, les recourantes ne démontrent pas en quoi ces constatations des juges cantonaux seraient arbitraires au sens des art. 105 al. 2 LTF et 9 Cst.; elles n'exposent en particulier pas que l'autorité inférieure aurait manifestement mal compris le sens et la portée d'un moyen de preuve; elles ne font pas non plus valoir que la cour cantonale aurait omis de prendre en compte, sans raison sérieuse, un élément de fait propre à modifier la décision. En réalité, les recourantes se limitent à affirmer, de manière péremptoire, que B.________ aurait formé recours en sa qualité de personne physique auprès du Tribunal cantonal. Une telle argumentation ne satisfait pas aux exigences de motivation relative à la critique des faits contenus dans une décision cantonale ( art. 106 al. 2 LTF ; cf. ATF 137 II 353 consid. 5.1 p. 356). De toute manière, l'intitulé de l'acte de recours - en tant qu'il visait d'abord la société en formation - était compatible avec une une appréciation selon laquelle B.________ - qui apparaissait dans l'en-tête de l'acte en dessous de la société en formation - agissait en tant que représentante de la société en formation et non pour elle-même; d'ailleurs, le contenu de l'acte de recours n'apportait aucune précision supplémentaire qui aurait permis de retenir sans ambiguïté que le recours émanait également de B.________. En adoptant la solution présentement querellée, qui apparaît tout autant acceptable que celle soutenue par les recourantes, la cour cantonale n'a donc pas versé dans l'arbitraire. Dès lors, l'argumentation des recourantes fondée sur la capacité personnelle de B.________ à être partie à la procédure se révèle sans objet.</w:t>
      </w:r>
    </w:p>
    <w:p>
      <w:r>
        <w:rPr>
          <w:b/>
        </w:rPr>
        <w:t>E. 2.4</w:t>
      </w:r>
    </w:p>
    <w:p>
      <w:r>
        <w:t>Au vu de ce qui précède, la cour cantonale pouvait, sans verser dans l'arbitraire, déclarer le recours cantonal irrecevable. Dans la mesure où cette motivation est suffisante pour rejeter le présent recours, il n'y a pas lieu d'examiner les autres griefs soulevés par les recourantes (cf. supra consid. 1.2). Il en va en particulier de toutes les critiques relatives à l'application du droit matériel ou du déni de justice en relation avec l'application de ce droit.</w:t>
      </w:r>
    </w:p>
    <w:p>
      <w:r>
        <w:rPr>
          <w:b/>
        </w:rPr>
        <w:t>E. 3</w:t>
      </w:r>
    </w:p>
    <w:p>
      <w:r>
        <w:t>Les considérants qui précèdent conduisent au rejet du recours, dans la mesure de sa recevabilité. Les frais judiciaires sont mis à la charge des recourantes, qui succombent ( art. 66 al. 1 LTF ). Celles-ci verseront en outre une indemnité de dépens à l'intimée D.________, qui obtient gain de cause avec l'assistance d'un avocat ( art. 68 al. 1 et 2 LTF ). Il n'est pas alloué de dépens à l'intimé C.________ qui n'a pas déposé d'écritures.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