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247/2011 vom 6. Juni 2011</w:t>
      </w:r>
    </w:p>
    <w:p>
      <w:r>
        <w:t>Bundesgericht, 2011-06-06, FR</w:t>
      </w:r>
    </w:p>
    <w:p>
      <w:r>
        <w:rPr>
          <w:b/>
        </w:rPr>
        <w:t xml:space="preserve">Quelle: </w:t>
      </w:r>
      <w:r>
        <w:t>https://mcp.opencaselaw.ch/entscheid/bger_1C_247_2011</w:t>
      </w:r>
    </w:p>
    <w:p>
      <w:r>
        <w:t>FR: TF 1C 247/2011 du 6 juin 2011</w:t>
      </w:r>
    </w:p>
    <w:p>
      <w:r>
        <w:t>IT: TF 1C 247/2011 del 6 giugno 2011</w:t>
      </w:r>
    </w:p>
    <w:p>
      <w:pPr>
        <w:pStyle w:val="Heading2"/>
      </w:pPr>
      <w:r>
        <w:t>Regeste</w:t>
      </w:r>
    </w:p>
    <w:p>
      <w:r>
        <w:t>Entraide judiciaire internationale en matière pénale à la République d'Allemagne; remise de moyens de preuves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et de la nature de la transmission envisagée, portant sur la documentation relative à un compte déterminé, le cas ne revêt en soi aucune importance particulière.</w:t>
      </w:r>
    </w:p>
    <w:p>
      <w:r>
        <w:rPr>
          <w:b/>
        </w:rPr>
        <w:t>E. 1.3</w:t>
      </w:r>
    </w:p>
    <w:p>
      <w:r>
        <w:t>La recourante estime qu'il ne serait pas admissible que le secret d'affaires ne puisse jamais être opposé à l'exécution d'une demande d'entraide. Cette question n'a toutefois pas à faire l'objet d'une précision de jurisprudence, dès lors qu'elle est réglée explicitement dans la loi. En effet, l' art. 9 EIMP prévoit que la protection du domaine secret est réglée conformément aux dispositions sur le droit de refuser de témoigner. L'arrêt attaqué rappelle pertinemment qu'en principe, seules ont le droit de refuser de témoigner les personnes titulaires non pas de simples secrets d'affaires, mais d'un secret professionnel qualifié au sens de l' art. 321 CP . N'en font partie ni les banques ( ATF 123 II 153 consid. 7 p. 160) ni les fiduciaires ou gérants d'affaires (arrêt 1A.61/2001 du 5 novembre 2001). L'intérêt au maintien d'un secret d'affaires peut aussi prévaloir, au terme de la pesée d'intérêts commandée par le principe de la proportionnalité. Toutefois l'invocation de ce principe ne constitue à l'évidence pas un motif d'entrer en matière, faute de quoi les conditions restrictives de l' art. 84 LTF seraient systématiquement contournées. Il n'y a donc, dans ce domaine, aucune incertitude qu'il conviendrait de lever.</w:t>
      </w:r>
    </w:p>
    <w:p>
      <w:r>
        <w:rPr>
          <w:b/>
        </w:rPr>
        <w:t>E. 1.4</w:t>
      </w:r>
    </w:p>
    <w:p>
      <w:r>
        <w:t>La recourante considère aussi que la restriction de l'accès au Tribunal fédéral mettrait en péril le droit à un double degré de juridiction. Elle perd toutefois de vue que le but de l' art. 84 LTF est justement de limiter fortement l'accès au Tribunal fédéral dans le domaine de l'entraide judiciaire, en ne permettant de recourir que dans un nombre limité de cas jugés particulièrement importants ( ATF 133 IV 125 , 129, 131, 132). Le législateur a donc expressément renoncé à assurer, dans ce domaine, un double degré de juridiction.</w:t>
      </w:r>
    </w:p>
    <w:p>
      <w:r>
        <w:rPr>
          <w:b/>
        </w:rPr>
        <w:t>E. 2</w:t>
      </w:r>
    </w:p>
    <w:p>
      <w:r>
        <w:t>Faute de porter sur un cas particulièrement important, le recours est dès lors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