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1C_247/2007 vom 11. März 2008</w:t>
      </w:r>
    </w:p>
    <w:p>
      <w:r>
        <w:t>Bundesgericht, 2008-03-11, IT</w:t>
      </w:r>
    </w:p>
    <w:p>
      <w:r>
        <w:rPr>
          <w:b/>
        </w:rPr>
        <w:t xml:space="preserve">Quelle: </w:t>
      </w:r>
      <w:r>
        <w:t>https://mcp.opencaselaw.ch/entscheid/bger_1C_247_2007</w:t>
      </w:r>
    </w:p>
    <w:p>
      <w:r>
        <w:t>FR: TF 1C_247/2007 du 11 mars 2008</w:t>
      </w:r>
    </w:p>
    <w:p>
      <w:r>
        <w:t>IT: TF 1C_247/2007 del 11 marzo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Con il giudizio impugnato, il Tribunale cantonale amministrativo ha parzialmente annullato la licenza edilizia rilasciata all'istante dal Municipio di Locarno. Giusta l' art. 82 lett. a LTF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 nella versione in vigore dal 1° gennaio 2007, stabilisce che i rimedi giuridici proponibili dinanzi alle autorità federali sono retti dalle disposizioni generali sull'amministrazione della giustizia federale (cfr. DTF 133 II 353 consid. 2 e 3.3, 409 consid. 1.1; sentenza 1C_153/2007 del 6 dicembre 2007, consid. 1.1 e 1.2).</w:t>
      </w:r>
    </w:p>
    <w:p>
      <w:r>
        <w:rPr>
          <w:b/>
        </w:rPr>
        <w:t>E. 1.3</w:t>
      </w:r>
    </w:p>
    <w:p>
      <w:r>
        <w:t>Il ricorrente ha partecipato al procedimento dinanzi all'autorità inferiore ( art. 89 cpv. 1 lett. a LTF ). Quale comproprietario dei fondi dedotti in edificazione e istante nella procedura edilizia è direttamente toccato dalla decisione impugnata, che gli nega la possibilità di realizzare una parte del progetto, e ha quindi un interesse degno di protezione al suo annullamento o alla sua modifica (art. 89 cpv. 1 lett. b e c LTF). Il ricorso in materia di diritto pubblico ( art. 82 LTF ), tempestivo (art. 100 cpv. 1 in relazione con l' art. 46 cpv. 1 lett. b LTF ) e diretto contro una decisione finale ( art. 90 LTF ), resa da un'autorità cantonale di ultima istanza (art. 86 cpv. 1 lett. d LTF), è di massima ammissibile. Il ricorso sussidiario in materia costituzionale (art. 113 segg. LTF), semplicemente indicato dal ricorrente nel titolo del gravame, è di conseguenza inammissibile.</w:t>
      </w:r>
    </w:p>
    <w:p>
      <w:r>
        <w:rPr>
          <w:b/>
        </w:rPr>
        <w:t>E. 2.1</w:t>
      </w:r>
    </w:p>
    <w:p>
      <w:r>
        <w:t>Il ricorrente rimprovera alla Corte cantonale una violazione del suo diritto di essere sentito per non avere formalmente statuito sulla censurata carenza di capacità della comunione ereditaria di essere parte in giudizio. Sostiene, richiamando al riguardo l' art. 602 CC e il diritto procedurale cantonale, che il ricorso dinanzi alla precedente istanza avrebbe dovuto essere dichiarato inammissibile poiché non menzionava tutti gli eredi.</w:t>
      </w:r>
    </w:p>
    <w:p>
      <w:r>
        <w:rPr>
          <w:b/>
        </w:rPr>
        <w:t>E. 2.2</w:t>
      </w:r>
    </w:p>
    <w:p>
      <w:r>
        <w:t>Secondo l' art. 602 CC gli eredi sono proprietari in comune dei beni facenti parte della successione e solo in comune possono disporne, fatte salve le facoltà di rappresentazione e amministrazione previste per contratto o per legge. Una comunione ereditaria non ha veste di persona giuridica e pertanto non possiede neppure la capacità giuridica. A parte la possibilità che un rappresentante comune di tutti gli eredi agisca per conto della comunione ereditaria e riservati altri casi che non entrano qui in considerazione, singoli eredi non sono legittimati ad agire in nome e per conto della comunione; soltanto l'insieme dei proprietari in comune, quali litisconsorti necessari, è infatti abilitato a far valere i diritti della comunione ereditaria ( DTF 125 III 219 consid. 1a, 119 Ib 56 consid. 1a; sentenza 1P.345/1994 del 14 dicembre 1994, consid. 2, apparsa in: RDAT II-1995, n. 56, pag. 149 segg.). Questa disciplina trova conferma, a livello processuale, nella procedura civile cantonale (cfr. art. 41 CPC /TI; cfr. Bruno Cocchi/Francesco Trezzini, Codice di procedura civile ticinese massimato e commentato, Lugano 2000, n. 16 all'art. 38 e n. 4 all' art. 41 CPC /TI). Richiamata dal ricorrente, questa regolamentazione troverebbe applicazione per il rinvio della legge ticinese di procedura per le cause amministrative, del 19 aprile 1966 (cfr. art. 24 LPamm).</w:t>
      </w:r>
    </w:p>
    <w:p>
      <w:r>
        <w:rPr>
          <w:b/>
        </w:rPr>
        <w:t>E. 2.3</w:t>
      </w:r>
    </w:p>
    <w:p>
      <w:r>
        <w:t>In realtà, nell'ambito del procedimento amministrativo ticinese, la giurisprudenza cantonale non pone esigenze severe riguardo alla legittimazione ricorsuale dei membri di una comunione ereditaria (cfr. risposta del 1° ottobre 2007 della Corte cantonale; Marco Borghi/Guido Corti, Compendio di procedura amministrativa ticinese, Lugano 1997, n. 11 all'art. 43 LPamm). Nelle fattispecie, a prescindere da questa circostanza, le esposte esigenze in tema di legittimazione a ricorrere possono comunque essere considerate soddisfatte. Il ricorso del 19 aprile 2007 dinanzi alla precedente istanza è invero stato presentato dalla "Comunione ereditaria fu B.B.________, rappr. dalla signora C.B.________". Con un atto del 23 aprile 2007 l'istante ha lamentato la mancata indicazione di tutti gli eredi, chiedendo sostanzialmente di dichiarare irricevibile il gravame. Invitato dalla Corte cantonale a pronunciarsi al riguardo, il patrocinatore della comunione ereditaria ha specificato il 7 maggio 2007 i nominativi di tutti gli eredi e ribadito che C.B.________ li rappresentava. La Corte cantonale ha intimato all'istante queste osservazioni, assegnandogli contestualmente un termine per presentare la risposta di merito: egli l'ha poi inoltrata senza più esprimersi sulla questione della legittimazione ricorsuale. Risulta quindi che il patrocinatore della comunione ereditaria ha indicato entro il termine assegnatogli i nominativi di tutti gli eredi e la procedura ha garantito all'istante la facoltà di esprimersi al riguardo. Nella misura in cui prestasse il fianco alle critiche dell'istante riguardo alla mancata indicazione di tutti i componenti della comunione ereditaria, il ricorso dinanzi alla Corte cantonale è stato tempestivamente completato con l'indicazione degli eredi mancanti, sicché è senza incorrere nell'arbitrio o eccedere nel proprio potere d'apprezzamento che la precedente istanza è entrata nel merito del gravame. Essa non ha per finire nemmeno disatteso il diritto di essere sentito dell'istante, poiché, esaminando nel merito le censure ricorsuali, ha implicitamente respinto l'obiezione della carenza di capacità processuale.</w:t>
      </w:r>
    </w:p>
    <w:p>
      <w:r>
        <w:rPr>
          <w:b/>
        </w:rPr>
        <w:t>E. 3.1</w:t>
      </w:r>
    </w:p>
    <w:p>
      <w:r>
        <w:t>Il ricorrente sostiene che la Corte cantonale avrebbe escluso a torto dal computo dell'area verde talune parti dei manufatti, negando poi la licenza edilizia per tutto il nuovo stabile e l'autorimessa. Al fine di garantire la conformità dell'intero progetto, avrebbe invece dovuto ricercare semplici correttivi che avrebbero consentito di recuperare i circa 30 m2 di area verde mancante. Adduce che si sarebbe segnatamente potuto sopprimere il locale deposito del nuovo stabile e ripristinare le aiuole verso via Vallemaggia, previste nella domanda di costruzione originaria. Lamenta al riguardo una violazione dell'autonomia comunale, del divieto dell'arbitrio e del principio della proporzionalità.</w:t>
      </w:r>
    </w:p>
    <w:p>
      <w:r>
        <w:rPr>
          <w:b/>
        </w:rPr>
        <w:t>E. 3.2</w:t>
      </w:r>
    </w:p>
    <w:p>
      <w:r>
        <w:t>Secondo la giurisprudenza resa nell'ambito del previgente rimedio del ricorso di diritto pubblico (art. 84 segg. OG), il Tribunale federale riconosce ai privati la facoltà di invocare l'autonomia comunale a titolo ausiliario, a sostegno di altre censure ( DTF 119 Ia 214 consid. 2c, 116 Ia 221 consid. 1e e rinvio). Ciò tuttavia solo quando il Comune non abbia espressamente o per atti concludenti rinunciato ad avvalersene ( DTF 107 Ia 96 consid. 1c; sentenza 1P.319/2002 del 25 novembre 2002, consid. 1.2, apparsa in: RDAT I-2003, n. 59, pag. 211). Non vi è motivo di scostarsi da questa prassi nel contesto del ricorso in materia di diritto pubblico giusta l'art. 82 segg. LTF.</w:t>
      </w:r>
    </w:p>
    <w:p>
      <w:r>
        <w:t>In concreto, è quantomeno dubbio che il ricorrente possa validamente invocare una pretesa violazione dell'autonomia comunale poiché dalla risposta presentata dal Municipio di Locarno in questa sede, risulta che l'autorità comunale accetta la decisione dell'ultima istanza cantonale sulla questione della superficie verde e contesta le argomentazioni del ricorrente. Visto l'esito del ricorso, il quesito non deve comunque essere ulteriormente approfondito.</w:t>
      </w:r>
    </w:p>
    <w:p>
      <w:r>
        <w:rPr>
          <w:b/>
        </w:rPr>
        <w:t>E. 3.3</w:t>
      </w:r>
    </w:p>
    <w:p>
      <w:r>
        <w:t>Nell'ambito del ricorso in materia di diritto pubblico per violazione dell'autonomia comunale, il Tribunale federale esamina sotto il profilo ristretto dell'arbitrio sia l'applicazione del diritto edilizio cantonale e comunale sia l'apprezzamento delle prove e l'accertamento dei fatti ( DTF 132 I 68 consid. 1.1, 131 I 91 consid. 1 e rinvii). Nella misura in cui il ricorrente prospetta in questa sede possibili soluzioni che permetterebbero di raggiungere la quota minima di area verde prevista dal diritto comunale, il gravame è inammissibile. Egli disattende infatti, che il ricorso in materia di diritto pubblico è dato unicamente per fare valere la violazione del diritto ( art. 95 LTF ), sicché il Tribunale federale non è abilitato a stabilire la soluzione più adeguata per correggere le carenze della domanda di costruzione.</w:t>
      </w:r>
    </w:p>
    <w:p>
      <w:r>
        <w:rPr>
          <w:b/>
        </w:rPr>
        <w:t>E. 3.4</w:t>
      </w:r>
    </w:p>
    <w:p>
      <w:r>
        <w:t>Giusta l'art. 13 lett. a cpv. 4 delle norme di attuazione del piano regolatore di Locarno (settore 2), il 40 % della superficie edificabile deve essere mantenuta libera da costruzioni e per almeno la metà sistemata a verde. Limitandosi ad addurre genericamente che la Corte cantonale non avrebbe potuto decidere in luogo del Comune ciò che non andava considerato quale "area verde", il ricorrente non fa valere, con una motivazione conforme agli art. 42 cpv. 2 e 106 cpv. 2 LTF, l'applicazione manifestamente insostenibile di questa disposizione, né sostanzia un accertamento dei fatti arbitrario (cfr., sulle esigenze di motivazione, DTF 133 II 249 consid. 1.4). Gli accertamenti contenuti nel giudizio impugnato riguardo alle superfici verdi non sono comunque in contrasto con gli atti, ma sono del tutto conformi ai piani di costruzione (cfr. piani n. 50 e 51). Fondandosi in modo sostenibile sulle caratteristiche dei manufatti, e senza quindi abusare del proprio potere di apprezzamento, la Corte cantonale ha inoltre stralciato dal computo dell'area verde le fioriere al piano seminterrato e l'aiuola sul tetto del deposito, non trattandosi di superfici libere da costruzioni ma di settori edificati arredati a verde. Pure l'esclusione delle aiuole lungo via Vallemaggia non presta il fianco a critiche, visto ch'esse non figurano sulla versione dei piani approvata, essendo state soppresse per fare posto a ulteriori posteggi (cfr. piano posteggi n. 60, revisione del 28 luglio 2006).</w:t>
      </w:r>
    </w:p>
    <w:p>
      <w:r>
        <w:t>Premesso che la Corte cantonale ha ritenuto a ragione che la sola eliminazione del deposito sul lato est della nuova palazzina non era sufficiente per rispettare la quota minima di area verde, non incombe come visto al Tribunale federale stabilire quale sia la soluzione più adeguata per raggiungerla. Le correzioni prospettate dal ricorrente comportano d'altra parte la modifica delle caratteristiche di alcuni posteggi e la loro eventuale soppressione, rimettendo in discussione il fabbisogno complessivo di posti auto stabilito dal Comune ed accettato dallo stesso ricorrente in sede di procedura edilizia. Esse presuppongono poi un ulteriore esame di aspetti tecnici e l'eventuale concessione di deroghe, le quali rientrano però innanzitutto nelle competenze dell'autorità comunale (cfr. art. 32 delle norme di attuazione del piano regolatore; sentenza 1P.776/2001 del 18 aprile 2002, consid. 4, apparsa in: RDAT II-2002 n. 1 pag. 3 segg.). In tali circostanze è quindi senza abusare del proprio potere di apprezzamento che la Corte cantonale ha confermato la licenza edilizia limitatamente alla sopraelevazione dello stabile esistente sul fondo part. n. 4781; questo intervento potendo anche avere una portata distinta nel contesto del progetto edilizio globale.</w:t>
      </w:r>
    </w:p>
    <w:p>
      <w:r>
        <w:rPr>
          <w:b/>
        </w:rPr>
        <w:t>E. 4</w:t>
      </w:r>
    </w:p>
    <w:p>
      <w:r>
        <w:t>Ne segue che il ricorso in materia di diritto pubblico deve essere respinto nella misura della sua ammissibilità, mentre il ricorso sussidiario in materia costituzionale deve essere dichiarato inammissibile. Le spese giudiziarie seguono la soccombenza e sono pertanto poste a carico del ricorrente ( art. 66 cpv. 1 LTF ). Egli dovrà inoltre rifondere ai resistenti, patrocinati da un legale, un'equa 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