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1C_245/2023 vom 14. März 2024</w:t>
      </w:r>
    </w:p>
    <w:p>
      <w:r>
        <w:t>Bundesgericht, 2024-03-14, FR</w:t>
      </w:r>
    </w:p>
    <w:p>
      <w:r>
        <w:rPr>
          <w:b/>
        </w:rPr>
        <w:t xml:space="preserve">Quelle: </w:t>
      </w:r>
      <w:r>
        <w:t>https://mcp.opencaselaw.ch/entscheid/bger_1C_245_2023</w:t>
      </w:r>
    </w:p>
    <w:p>
      <w:r>
        <w:t>FR: TF 1C_245/2023 du 14 mars 2024</w:t>
      </w:r>
    </w:p>
    <w:p>
      <w:r>
        <w:t>IT: TF 1C_245/2023 del 14 marzo 2024</w:t>
      </w:r>
    </w:p>
    <w:p>
      <w:pPr>
        <w:pStyle w:val="Heading2"/>
      </w:pPr>
      <w:r>
        <w:t>Erwägungen</w:t>
      </w:r>
    </w:p>
    <w:p>
      <w:r>
        <w:rPr>
          <w:b/>
        </w:rPr>
        <w:t>E. 1</w:t>
      </w:r>
    </w:p>
    <w:p>
      <w:r>
        <w:t>Selon l' art. 82 let . c LTF, le Tribunal fédéral connaît des recours qui concernent le droit de vote des citoyens ainsi que les élections et votations populaires. Cette disposition permet de recourir contre l'ensemble des actes affectant les droits politiques, y compris au niveau communal. Le recours en matière de droits politiques permet en particulier au citoyen de se plaindre de ce qu'une initiative populaire a été indûment soustraite au scrutin populaire, parce qu'elle a été déclarée totalement ou partiellement invalide par l'autorité chargée de cet examen ( ATF 128 I 190 consid. 1.1; cf. ATF 134 I 172 consid. 1).</w:t>
      </w:r>
    </w:p>
    <w:p>
      <w:r>
        <w:t>La qualité pour recourir dans le domaine des droits politiques appartient à toute personne disposant du droit de vote dans l'affaire en cause ( art. 89 al. 3 LTF ), même si elle n'a aucun intérêt juridique personnel à l'annulation de l'acte attaqué ( ATF 130 I 290 consid. 1). La qualité pour agir des recourants, tous électeurs dans la commune et membres du comité d'initiative, est ainsi indiscutable.</w:t>
      </w:r>
    </w:p>
    <w:p>
      <w:r>
        <w:t>Pour le surplus, le recours est formé en temps utile contre un arrêt rendu en dernière instance cantonale ( art. 88 al. 1 let. a LTF ), de sorte qu'il convient d'entrer en matière.</w:t>
      </w:r>
    </w:p>
    <w:p>
      <w:r>
        <w:rPr>
          <w:b/>
        </w:rPr>
        <w:t>E. 2</w:t>
      </w:r>
    </w:p>
    <w:p>
      <w:r>
        <w:t>Les recourants relèvent incidemment que la Municipalité aurait appliqué les art. 90a et 106a al. 2bis de la loi cantonale sur l'exercice des droits politiques (aLEDP, RS/VD 160.01) alors que ces dispositions n'étaient plus en vigueur, la nouvelle LEDP étant entrée en vigueur le 1er janvier 2022. Par ailleurs, ils reprochent à la Cour constitutionnelle d'avoir rendu son arrêt dix mois après le dépôt du recours alors que le délai fixé à l'art. 193 al. 2 LEDP est de trois mois. Les recourants ne soutiennent toutefois pas que l'arrêt attaqué devrait être annulé pour ces motifs et n'élèvent pas de griefs formels à ce propos.</w:t>
      </w:r>
    </w:p>
    <w:p>
      <w:r>
        <w:rPr>
          <w:b/>
        </w:rPr>
        <w:t>E. 3</w:t>
      </w:r>
    </w:p>
    <w:p>
      <w:r>
        <w:t>Les recourants se plaignent d'une violation de l'art. 138 al. 1 LEDP. Ils estiment que l'initiative ne portait pas sur une modification de la planification, mais sur une simple modification du RCCAT. Dès lors, la jurisprudence cantonale exigeant que les initiatives modifiant directement des plans d'affectation soient conçues en termes généraux ne serait pas applicable. Cette question, que le Tribunal fédéral devrait examiner librement s'agissant d'une atteinte au contenu même des droits politiques ( ATF 141 I 221 consid. 3.1), n'a pas à être résolue dans le cas d'espèce. En effet, comme on le verra ci-dessous, le second motif retenu par la cour cantonale pour confirmer l'invalidation de l'initiative (soit la violation du droit fédéral) ne prête pas le flanc à la critique.</w:t>
      </w:r>
    </w:p>
    <w:p>
      <w:r>
        <w:rPr>
          <w:b/>
        </w:rPr>
        <w:t>E. 4</w:t>
      </w:r>
    </w:p>
    <w:p>
      <w:r>
        <w:t>Les recourants contestent que l'initiative soit contraire au droit supérieur. Ils relèvent que la volonté des initiants n'était pas d'imposer l'implantation des installations de téléphonie mobile en priorité en dehors de la zone à bâtir. Toutes les priorités fixées permettraient une implantation en zone constructible, y compris dans le "périmètre central". Par rapport à la précédente initiative, la réduction du rayon du périmètre central de 600 à 500 mètres et la suppression de la distance de 300 mètres par rapport aux habitations en zone à bâtir augmenterait sensiblement les surfaces à bâtir susceptibles d'accueillir de nouvelles installations. Ce n'est que si une implantation en zone constructible n'est pas possible qu'une construction serait envisageable hors zone, notamment sur les constructions existantes. Le système "en cascade" admis par la jurisprudence n'exigerait pas que les emplacements en zone à bâtir soient épuisés avant d'envisager une priorité en zone non constructible.</w:t>
      </w:r>
    </w:p>
    <w:p>
      <w:r>
        <w:rPr>
          <w:b/>
        </w:rPr>
        <w:t>E. 4.1</w:t>
      </w:r>
    </w:p>
    <w:p>
      <w:r>
        <w:t>Selon l'art. 106b aLEDP, toute initiative doit respecter le droit supérieur (al. 1 let. a) ainsi que les principes d'unité de rang, de forme et de matière (al. 1 let. b). Ces principes sont repris à l'art. 137 LEDP. Selon l'art. 106m al. 1 let. a aLEDP (cf. art. 140 al. 4 LEDP), la municipalité constate la nullité des initiatives qui sont contraires au droit supérieur.</w:t>
      </w:r>
    </w:p>
    <w:p>
      <w:r>
        <w:t>D'une manière générale, une initiative populaire, quelle que soit sa formulation, doit respecter les conditions matérielles qui lui sont imposées. Elle ne doit, en particulier, rien contenir de contraire au droit supérieur, qu'il soit cantonal, intercantonal, fédéral ou international. En vertu du principe de la force dérogatoire du droit fédéral ancré à l' art. 49 al. 1 Cst. , les cantons et les communes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143 I 129 consid. 2.1 et les arrêts cités).</w:t>
      </w:r>
    </w:p>
    <w:p>
      <w:r>
        <w:t>Pour examiner la validité matérielle d'une initiative, la première règle d'interprétation est de prendre pour point de départ le texte de l'initiative, qu'il faut interpréter en premier lieu selon sa lettre. Bien que l'interprétation repose en principe sur le libellé, une référence à la motivation de l'initiative n'est pas exclue si elle est indispensable à sa compréhension. La volonté des auteurs doit être prise en compte, à tout le moins, dans la mesure où elle délimite le cadre de l'interprétation de leur texte et du sens que les signataires ont pu raisonnablement lui attribuer ( ATF 143 I 129 consid. 2 p. et les arrêts cités). 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Tel est le sens de l'adage "in dubio pro populo", selon lequel un texte n'ayant pas un sens univoque doit être interprété de manière à favoriser l'expression du vote populaire. Cela découle également du principe de la proportionnalité ( art. 36 al. 2 et 3 Cst. ), selon lequel une intervention étatique doit porter l'atteinte la plus restreinte possible aux droits des citoyens. Les décisions d'invalidation doivent autant que possible être limitées, en retenant la solution la plus favorable aux initiants. Cela étant, la marge d'appréciation de l'autorité de contrôle est évidemment plus grande lorsqu'elle examine une initiative non formulée que lorsqu'elle se trouve, comme en l'espèce, en présence d'une initiative rédigée de toutes pièces sous la forme d'un acte normatif ( ATF 143 I 129 consid. 2.2 p. et les arrêts cités).</w:t>
      </w:r>
    </w:p>
    <w:p>
      <w:r>
        <w:rPr>
          <w:b/>
        </w:rPr>
        <w:t>E. 4.2</w:t>
      </w:r>
    </w:p>
    <w:p>
      <w:r>
        <w:t>En vertu du droit fédéral, les installations de téléphonie mobile n'ont en principe pas à faire l'objet d'une planification spéciale; elles doivent en priorité être érigées en zone constructible ( ATF 138 II 173 consid. 5). Lorsque l'autorité cantonale ou communale décide d'établir une planification pour ce type d'installations, cette planification peut être positive, négative ou en cascade ( ATF 141 II 245 consid 2.1 p. 248). Les installations de téléphonie mobile peuvent en outre être soumises aux dispositions cantonales ou communales d'esthétique ou d'intégration ( ATF 141 II 245 , consid. 4.1 non publié).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mobile(arrêt 1C_318/2011 du 8 novembre 2011 consid. 2). En particulier, l'application des normes d'esthétique ou de protection des sites ne peut rendre impossible ou compliquer à l'excès la réalisation de l'obligation de couverture qui incombe à l'opérateur en vertu du droit fédéral (art. 1er de la loi sur les télécommunications du 30 avril 1997 [LTC; RS 784.10]; ATF 141 II 245 consid. 7.1 et 7.8; 138 II 173 consid. 6.3; arrêts 1C_371/2020 du 9 février 2021 consid. 3.2; 1C_49/2015 du 9 décembre 2015 consid. 4).</w:t>
      </w:r>
    </w:p>
    <w:p>
      <w:r>
        <w:rPr>
          <w:b/>
        </w:rPr>
        <w:t>E. 4.3</w:t>
      </w:r>
    </w:p>
    <w:p>
      <w:r>
        <w:t>En guise de première priorité, l'initiative mentionne l'ensemble du territoire communal indépendamment du type de zone, tout en définissant un périmètre d'exclusion dans un rayon de 500 mètres autour du centre du village dont les coordonnées sont précisément indiquées. Ce rayon est certes réduit par rapport à la première initiative communale (qui le fixait à 600 mètres), mais il couvre encore l'essentiel de la zone à bâtir communale, à l'exclusion d'une petite zone d'activités située au sud de celui-ci. Il en découle que l'installation d'antennes de téléphonie mobile ne serait pratiquement possible que dans la zone agricole et forestière entourant le village, à une certaine distance du centre de celui-ci. Dès lors que les antennes de téléphonies doivent, en vertu des principes rappelés ci-dessus, être prioritairement installées en zone constructible, un système prétendument en cascade telle que celui qui est instauré par l'initiative ne peut, comme première priorité, exclure la presque totalité de la zone constructible. En réplique, les recourants invoquent l'arrêt 1C_167/2018 du 8 janvier 2019, mais la réglementation en cascade qui était attaquée - et a été jugée conforme au droit fédéral - prévoyait l'implantation des installations de téléphonie mobile en priorité dans des zones constructibles, au contraire de ce que prévoit l'initiative.</w:t>
      </w:r>
    </w:p>
    <w:p>
      <w:r>
        <w:t>Tout autant que la précédente, l'initiative apparaît ainsi contraire au droit supérieur, de sorte que la décision d'invalidation ne viole pas les droits politiques.</w:t>
      </w:r>
    </w:p>
    <w:p>
      <w:r>
        <w:rPr>
          <w:b/>
        </w:rPr>
        <w:t>E. 5</w:t>
      </w:r>
    </w:p>
    <w:p>
      <w:r>
        <w:t>Le recours doit par conséquent être rejeté, aux frais des recourants qui succombent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