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1C_245/2015 vom 25. Juni 2015</w:t>
      </w:r>
    </w:p>
    <w:p>
      <w:r>
        <w:t>Bundesgericht, 2015-06-25, DE</w:t>
      </w:r>
    </w:p>
    <w:p>
      <w:r>
        <w:rPr>
          <w:b/>
        </w:rPr>
        <w:t xml:space="preserve">Quelle: </w:t>
      </w:r>
      <w:r>
        <w:t>https://mcp.opencaselaw.ch/entscheid/bger_1C_245_2015</w:t>
      </w:r>
    </w:p>
    <w:p>
      <w:r>
        <w:t>FR: TF 1C_245/2015 du 25 juin 2015</w:t>
      </w:r>
    </w:p>
    <w:p>
      <w:r>
        <w:t>IT: TF 1C_245/2015 del 25 giugno 2015</w:t>
      </w:r>
    </w:p>
    <w:p>
      <w:pPr>
        <w:pStyle w:val="Heading2"/>
      </w:pPr>
      <w:r>
        <w:t>Erwägungen</w:t>
      </w:r>
    </w:p>
    <w:p>
      <w:r>
        <w:rPr>
          <w:b/>
        </w:rPr>
        <w:t>E. 1</w:t>
      </w:r>
    </w:p>
    <w:p>
      <w:r>
        <w:t>Gemäss Art. 54 Abs. 1 Satz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Beschwerde in französischer Sprache eingereicht hat.</w:t>
      </w:r>
    </w:p>
    <w:p>
      <w:r>
        <w:rPr>
          <w:b/>
        </w:rPr>
        <w:t>E. 2</w:t>
      </w:r>
    </w:p>
    <w:p>
      <w:r>
        <w:t>Am 1. April 2011 trat das Bundesgesetz vom 1. Oktober 2010 über die Koordination des Asyl- und des Auslieferungsverfahrens (Koordinationsgesetz; AS 2011 925 ff.) in Kraft. Es stellt einen Mantelerlass dar. Damit wurden ausschliesslich das Bundesgerichtsgesetz, das Asylgesetz (AsylG; SR 142.31) und das Rechtshilfegesetz (IRSG SR 351.1) geändert.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S. 515 f. mit Hinweisen).</w:t>
      </w:r>
    </w:p>
    <w:p>
      <w:r>
        <w:t>Am 28. Mai 2013 lehnte das Bundesamt für Migration (BFM; heute: Staatssekretariat für Migration) das Asylgesuch des Beschwerdeführers ab. Die von diesem hiergegen erhobene Beschwerde wies das Bundesverwaltungsgericht am 21. März 2014 ab. Dagegen reichte der Beschwerdeführer am 25. April 2014 Beschwerde beim Bundesgericht ein. Mit Verfügung vom 16. Juni 2014 setzte der Instruktionsrichter das bundesgerichtliche Verfahren aus. Über die Beschwerde gegen das Urteil des Bundesverwaltungsgerichts befindet das Bundesgericht mit separatem Urteil vom heutigen Tag (1C_218/2014). Die Koordination des Auslieferungs- und des Asylverfahrens ist damit sichergestellt.</w:t>
      </w:r>
    </w:p>
    <w:p>
      <w:r>
        <w:t>Da dem Bundesgericht die Akten des Asylverfahrens vorliegen, ist Art. 55a IRSG , der ihren Beizug vorschreibt, Genüge getan.</w:t>
      </w:r>
    </w:p>
    <w:p>
      <w:r>
        <w:rPr>
          <w:b/>
        </w:rPr>
        <w:t>E. 3.1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3.2</w:t>
      </w:r>
    </w:p>
    <w:p>
      <w:r>
        <w:t>Was der Beschwerdeführer vorbringt, ist nicht geeignet, einen besonders bedeutenden Fall darzutun. Die Vorinstanz hat sich mit seinen Einwänden auseinandergesetzt. Ihr Entscheid, auf den verwiesen werden kann ( Art. 109 Abs. 3 BGG ), lässt keine Bundesrechtsverletzung erkennen. Das gilt insbesondere, soweit die Vorinstanz die Auslieferung unter Einholung diplomatischer Zusicherungen als zulässig angesehen hat. Ihr Entscheid stützt sich auf die bundesgerichtliche Rechtsprechung ( BGE 134 IV 156 E. 6 S. 162 ff.), auf die zurückzukommen kein Anlass besteht. Die von der zuständigen ukrainischen Behörde verlangten Zusicherungen sind so ausgestaltet, dass - sofern sie abgegeben werden - die Auslieferung des Beschwerdeführers verantwortet werden kann. Im gleichen Sinne hat das Bundesgericht bereits in anderen die Ukraine betreffenden Fällen entschieden (Urteile 1C_777/2013 vom 4. November 2013 E. 1.2 und 1C_471/2008 vom 28. November 2008 E. 2.2 und 2.4). Rechtsfragen von grundsätzlicher Bedeutung stellen sich nicht. Auch sonst wie kommt der Angelegenheit keine aussergewöhnliche Tragweite zu. Für das Bundesgericht besteht deshalb kein Anlass, die Sache an die Hand zu nehmen.</w:t>
      </w:r>
    </w:p>
    <w:p>
      <w:r>
        <w:rPr>
          <w:b/>
        </w:rPr>
        <w:t>E. 4</w:t>
      </w:r>
    </w:p>
    <w:p>
      <w:r>
        <w:t>Die Beschwerde ist demnach unzulässig.</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