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1C_245/2013 vom 10. Dezember 2013</w:t>
      </w:r>
    </w:p>
    <w:p>
      <w:r>
        <w:t>Bundesgericht, 2013-12-10, DE</w:t>
      </w:r>
    </w:p>
    <w:p>
      <w:r>
        <w:rPr>
          <w:b/>
        </w:rPr>
        <w:t xml:space="preserve">Quelle: </w:t>
      </w:r>
      <w:r>
        <w:t>https://mcp.opencaselaw.ch/entscheid/bger_1C_245_2013</w:t>
      </w:r>
    </w:p>
    <w:p>
      <w:r>
        <w:t>FR: TF 1C_245/2013 du 10 décembre 2013</w:t>
      </w:r>
    </w:p>
    <w:p>
      <w:r>
        <w:t>IT: TF 1C_245/2013 del 10 dicembre 2013</w:t>
      </w:r>
    </w:p>
    <w:p>
      <w:pPr>
        <w:pStyle w:val="Heading2"/>
      </w:pPr>
      <w:r>
        <w:t>Erwägungen</w:t>
      </w:r>
    </w:p>
    <w:p>
      <w:r>
        <w:rPr>
          <w:b/>
        </w:rPr>
        <w:t>E. 1</w:t>
      </w:r>
    </w:p>
    <w:p>
      <w:r>
        <w:t>Beim angefochtenen Entscheid handelt es sich um einen kantonal letztinstanzlichen Entscheid über die Baubewilligung für eine Mobilfunkanlage, welcher der Beschwerde in öffentlich-rechtlichen Angelegenheiten unterliegt ( Art. 82 ff. BGG ). Der Beschwerdeführer ist Eigentümer von Liegenschaften innerhalb des Perimeters, in dem die Strahlung noch 10 % des Anlagegrenzwerts beträgt. Er ist zur Beschwerde legitimiert ( Art. 89 Abs. 1 lit. b und c BGG ; BGE 128 II 168 E. 2 S. 169 ff. mit Hinweisen). Auf seine Beschwerde ist grundsätzlich einzutreten.</w:t>
      </w:r>
    </w:p>
    <w:p>
      <w:r>
        <w:rPr>
          <w:b/>
        </w:rPr>
        <w:t>E. 2.1</w:t>
      </w:r>
    </w:p>
    <w:p>
      <w:r>
        <w:t>Der Beschwerdeführer bestreitet nicht, dass die geplante Mobilfunkanlage die bundesrechtlichen Anforderungen gemäss der Verordnung vom 23. Dezember 1999 über den Schutz vor nichtionisierender Strahlung (NISV; SR 814.710) einhält. Er ist jedoch der Ansicht, die Antenne AU sei nicht zonenkonform. Sie diene dazu, im Wesentlichen Nichtbauland und Gebiete des Fürstentums Liechtenstein zu versorgen. Damit fehle es ihr an der erforderlichen unmittelbaren funktionellen Beziehung zum Standort. Hinzu komme, dass die Vorinstanz den Sachverhalt unvollständig bzw. willkürlich festgestellt habe, da die Reichweite der Antenne nicht klar sei. Zwar habe das AFU in seinem Amtsbericht vom 14. Dezember 2010 eine entsprechende Tabelle vorgelegt. Diese weiche jedoch von den Unterlagen eines privaten Instituts, welche er selbst zu den Akten gegeben habe, erheblich ab. Zudem sei nicht ersichtlich, für welchen Antennentyp die Tabelle gelten solle, und auch, weshalb die Vorinstanz die Reichweitenwerte für den Vorstadtbereich und nicht für das freie Feld als massgeblich erachtet habe. Die Annahme, dass die Antenne AU auch Gebiete jenseits Landesgrenze abdecke, werde durch den Umstand gestützt, dass ihre Sendeleistung grösser sei als jene der Antennen BU und CU.</w:t>
      </w:r>
    </w:p>
    <w:p>
      <w:r>
        <w:rPr>
          <w:b/>
        </w:rPr>
        <w:t>E. 2.2</w:t>
      </w:r>
    </w:p>
    <w:p>
      <w:r>
        <w:t>Das Verwaltungsgericht legt dar, die Antenne AU ermögliche eine Abdeckung des südlichen Baugebiets von Buchs mit qualitativ hochstehenden Mobilfunkdiensten. Auch die locker überbaute Rheinebene und Gebiete des Fürstentums Liechtenstein lägen im Sendebereich. So sei anzunehmen, dass jenseits der Landesgrenze ausserhalb von Gebäuden unter Umständen ein Telefongespräch geführt werden könne. Eine Versorgung mit UMTS-Diensten innerhalb von Gebäuden sei aber auszuschliessen. Hinsichtlich der Reichweite der Antenne beruft sich das Verwaltungsgericht auf die Angaben des AFU im Amtsbericht vom 14. Dezember 2010. Danach hat die Sendeleistung einer UMTS-Antenne im Gegensatz zu einer GSM-Antenne keinen Einfluss auf die Grösse des zu versorgenden Gebiets. Die Reichweite eines Sektors werde vielmehr durch den Pilotkanal bestimmt. Die Sendeleistung sei für die Kapazität und Qualität entscheidend, nicht für die flächenmässige Abdeckung. Die im Bericht des AFU aufgeführte Tabelle erachtet das Verwaltungsgericht als hinreichend. Es weist darauf hin, dass die Grösse des versorgten Gebiets ohnehin vorab von der Beanspruchung durch die Benutzer abhänge, indem einige wenige Nutzer mit hoher Datenübertragungsrate die Kapazität ausschöpfen könnten, sodass es für zusätzliche Nutzer zu Engpässen komme. Zu den vom Beschwerdeführer vorgelegten Angaben eines privaten Instituts über die Reichweite von Mobilfunksendern schreibt das Verwaltungsgericht, diese würden sich auf die rein funktechnische Reichweite beziehen; ob und unter welchen Voraussetzungen, insbesondere bei welcher Leistung des Pilotkanals, sie auch für Antennen des fraglichen Typs gelten würden, sei daraus nicht ersichtlich. Auch der Einwand, die im Vergleich zu den Antennen BU und CU höhere Leistung könne nur damit erklärt werden, dass die Antenne AU ein grösseres Gebiet abdecken solle, sei nicht begründet. Bei den beiden erstgenannten Antennen sei eine Reduktion der Leistung erfolgt, um an Orten mit empfindlicher Nutzung die Anlagengrenzwerte einzuhalten, was bei der Antenne AU dagegen nicht notwendig gewesen sei.</w:t>
      </w:r>
    </w:p>
    <w:p>
      <w:r>
        <w:t>Gestützt auf diese Feststellungen bejaht das Verwaltungsgericht die Zonenkonformität der Antenne AU. Diese sei von durchschnittlicher Dimensionierung und Leistungsfähigkeit und versorge primär ein relativ dicht überbautes Baugebiet. Freilich erfasse die Antenne mit reduzierter Qualität auch entferntere Gebiete, zumal eine klare Begrenzung elektromagnetischer Strahlen nicht möglich sei. Dies ändere aber nichts daran, dass sie eine unmittelbare funktionelle Beziehung zum Ort habe, an dem sie errichtet werden solle, und deshalb zonenkonform sei.</w:t>
      </w:r>
    </w:p>
    <w:p>
      <w:r>
        <w:rPr>
          <w:b/>
        </w:rPr>
        <w:t>E. 2.3</w:t>
      </w:r>
    </w:p>
    <w:p>
      <w:r>
        <w:t>Infrastrukturbauten - zu denen auch Mobilfunkantennen gehören - sind in Bauzonen nicht generell und unabhängig von ihrem Verwendungszweck zulässig. Grundsätzlich ist es Sache des kantonalen (bzw. kommunalen) Rechts und der Nutzungsplanung festzulegen, in welchen Zonen welche Infrastrukturbauten und -anlagen zulässig sind ( Art. 22 Abs. 2 lit. a und Art. 23 RPG [SR 700]). Aus dem fundamentalen raumplanerischen Grundsatz der Trennung von Bau- und Nichtbaugebiet ergibt sich immerhin, dass Anlagen zur Erschliessung oder Versorgung des Siedlungsgebiets grundsätzlich innerhalb und nicht ausserhalb der Bauzonen errichtet werden müssen. Daraus hat das Bundesgericht in BGE 133 II 321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(a.a.O., E. 4.3.1 S. 325). Die Zonenkonformität einer Infrastrukturbaute kann unter Umständen auch bejaht werden, wenn sie der Ausstattung der Bauzone als Ganzem und nicht nur speziell dem in Frage stehenden Bauzonenteil dient (a.a.O.; zum Ganzen: BGE 138 II 173 E. 5.3 S. 178).</w:t>
      </w:r>
    </w:p>
    <w:p>
      <w:r>
        <w:t>In der politischen Gemeinde Buchs gibt es keine besonderen Planungsmassnahmen (Negativ- oder Positivplanung) zur Festlegung von Mobilfunkantennenstandorten (vgl. dazu BGE 138 II 173 E. 6 S. 180 ff. mit Hinweisen). Die Zonenkonformität der umstrittenen Antenne bestimmt sich deshalb nach den erwähnten allgemeinen Grundsätzen. Ihre Beurteilung durch das Verwaltungsgericht wird vom Bundesgericht nur auf Willkür hin überprüft, zumal es um eine Anlage innerhalb der Bauzone geht, welche dem kantonalen bzw. kommunalen Recht untersteht. Das Bundesrecht sieht in diesem Bereich insbesondere weder einen Bedürfnisnachweis noch eine Interessenabwägung vor (Urteil 1A.162/2004 vom 3. Mai 2005 E. 4 mit Hinweisen, in: URP 2005 S. 740).</w:t>
      </w:r>
    </w:p>
    <w:p>
      <w:r>
        <w:rPr>
          <w:b/>
        </w:rPr>
        <w:t>E. 2.4</w:t>
      </w:r>
    </w:p>
    <w:p>
      <w:r>
        <w:t>Die umstrittene Antenne ist in der Ecke einer Wohnzone geplant. Die mit ihr bezweckte Abdeckung erfasst zunächst verschiedene, aneinander angrenzende Wohn- sowie Wohn- und Gewerbezonen. Dies gilt insbesondere auch für das jenseits der Bahngeleise gelegene Quartier. Im Anschluss an dieses Quartier, gemäss den vorinstanzlichen Feststellungen in einer Entfernung von rund 450-660 m vom Antennenstandort, folgt das Nichtbaugebiet der Rheinebene. Auch wenn die Abdeckung dieses Gebiet ebenfalls erfasst und auch wenn sogar auf dem Territorium des Fürstentums Liechtenstein Telefonate möglich sein sollten, richtet sich die Antenne somit zunächst auf ein Baugebiet. Wie die Vorinstanz zu Recht anführt, ist die Antenne zudem in ihrer Dimension und Leistungsfähigkeit durchschnittlich. In diesem Sinne geht sie nicht über das hinaus, was zur üblichen Ausstattung einer Wohnzone mit Infrastrukturanlagen gehört (vgl. Urteil 1C_192/2010 vom 8. November 2010 Sachverhalt lit. A und E. 6.3). Aus diesen Gründen ist eine unmittelbare funktionelle Beziehung der Antenne zu ihrem Standort zu bejahen und hat das Verwaltungsgericht das Willkürverbot nicht verletzt, wenn es deren Zonenkonformität bestätigte. Dass die Strahlung der Anlage an der Zonengrenze halt macht bzw. nur gerade die Wohnzone abdeckt, ist physikalisch nicht möglich und kann nicht verlangt werden ( BGE 138 II 173 E. 5.4 S. 179 mit Hinweis).</w:t>
      </w:r>
    </w:p>
    <w:p>
      <w:r>
        <w:t>Auf die exakte Reichweite der Antenne kommt es bei dieser Betrachtungsweise nicht an. Was der Beschwerdeführer in dieser Hinsicht zur Kritik an den Sachverhaltsfeststellungen der Vorinstanz geltend macht, ist mithin nicht erheblich ( Art. 97 Abs. 1 BGG ). Lediglich der Vollständigkeit halber ist festzuhalten, dass im angefochtenen Entscheid nachvollziehbar dargelegt wird, weshalb sich die Sendeleistungen der drei Antennen AU, BU und CU unterscheiden und weshalb die tabellarischen Angaben des AFU, nicht aber jene, welche vom Beschwerdeführer eingereicht wurden, als zuverlässig anzusehen seien. Der Beschwerdeführer setzt sich mit den betreffenden Ausführungen nicht auseinander ( Art. 42 Abs. 2 BGG ).</w:t>
      </w:r>
    </w:p>
    <w:p>
      <w:r>
        <w:rPr>
          <w:b/>
        </w:rPr>
        <w:t>E. 3</w:t>
      </w:r>
    </w:p>
    <w:p>
      <w:r>
        <w:t>Die Beschwerde ist abzuweisen, soweit darauf einzutreten ist. Diesem Ausgang des Verfahrens entsprechend sind die Gerichtskosten dem unterliegenden Beschwerdeführer aufzuerlegen ( Art. 66 Abs. 1 BGG ). Er hat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