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1C_243/2018 vom 24. Mai 2018</w:t>
      </w:r>
    </w:p>
    <w:p>
      <w:r>
        <w:t>Bundesgericht, 2018-05-24, FR</w:t>
      </w:r>
    </w:p>
    <w:p>
      <w:r>
        <w:rPr>
          <w:b/>
        </w:rPr>
        <w:t xml:space="preserve">Quelle: </w:t>
      </w:r>
      <w:r>
        <w:t>https://mcp.opencaselaw.ch/entscheid/bger_1C_243_2018</w:t>
      </w:r>
    </w:p>
    <w:p>
      <w:r>
        <w:t>FR: TF 1C_243/2018 du 24 mai 2018</w:t>
      </w:r>
    </w:p>
    <w:p>
      <w:r>
        <w:t>IT: TF 1C_243/2018 del 24 maggio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d'entraide (des infractions qui ne sont ni politiques, ni fiscales) et de la nature de la transmission envisagée, portant sur la documentation relative à deux comptes bancaires déterminés, le cas ne revêt en soi aucune importance particulière.</w:t>
      </w:r>
    </w:p>
    <w:p>
      <w:r>
        <w:rPr>
          <w:b/>
        </w:rPr>
        <w:t>E. 1.3</w:t>
      </w:r>
    </w:p>
    <w:p>
      <w:r>
        <w:t>Les recourants estiment que l'importance des montants en jeu, soit 7,2 millions de francs déposés sur le compte de la recourante, justifierait une entrée en matière. La jurisprudence admet certes que l'importance des montants séquestrés en Suisse peut dans certains cas justifier une entrée en matière, en raison de l'atteinte au droit de propriété de la personne touchée (cf. arrêts 1C_190/2017 du 7 avril 2017 consid. 1.2, 1C_376/2016 du 5 octobre 2016, 1C_239/2014 du 18 août 2014 consid. 1). En l'occurrence, les montants concernés sont en soi insuffisants pour justifier une entrée en matière (cf. arrêt 1C_93/2015 du 20 avril 2015 consid. 2.3). En outre, le recours porte uniquement sur la transmission de documents bancaires et nullement sur un éventuel séquestre des fonds, et aucune atteinte au droit de propriété n'est ainsi alléguée.</w:t>
      </w:r>
    </w:p>
    <w:p>
      <w:r>
        <w:rPr>
          <w:b/>
        </w:rPr>
        <w:t>E. 1.4</w:t>
      </w:r>
    </w:p>
    <w:p>
      <w:r>
        <w:t>Les recourants prétendent par ailleurs que la demande d'entraide judiciaire ferait suite à une prise de contrôle forcée de l'établissement que présidait le recourant. Outre qu'ils n'ont pas été soumis à l'instance précédente, ces allégués vont à l'encontre de l'exposé de la commission rogatoire auquel l'autorité doit se tenir, et qui fait état de détournements commis par le recourant lui-même. Les recourants invoquent l' art. 2 EIMP (grief qui pourrait lui aussi justifier une entrée en matière) mais, outre que ce grief n'a non plus pas été examiné par l'instance précédente, il se fonde sur des généralités concernant la situation en matière de droits de l'homme dans l'Etat requérant, sans démontrer que les recourants seraient particulièrement menacés, par exemple en tant qu'opposants politiques. Pour l'heure, les deux recourants résident en Suisse et aucune demande d'extradition n'a été formée à leur encontre. Si tel était le cas, c'est aux autorités suisses d'extradition qu'il appartiendrait d'examiner la question. En l'état, les recourants n'ont pas qualité pour soulever de telles objections ( ATF 130 II 217 consid. 8.2 p. 227 s).</w:t>
      </w:r>
    </w:p>
    <w:p>
      <w:r>
        <w:rPr>
          <w:b/>
        </w:rPr>
        <w:t>E. 2</w:t>
      </w:r>
    </w:p>
    <w:p>
      <w:r>
        <w:t>En définitive, le cas ne revêt aucune importance particulière au sens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t>Le recours est dès lors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