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1C_243/2015 vom 2. September 2015</w:t>
      </w:r>
    </w:p>
    <w:p>
      <w:r>
        <w:t>Bundesgericht, 2015-09-02, FR</w:t>
      </w:r>
    </w:p>
    <w:p>
      <w:r>
        <w:rPr>
          <w:b/>
        </w:rPr>
        <w:t xml:space="preserve">Quelle: </w:t>
      </w:r>
      <w:r>
        <w:t>https://mcp.opencaselaw.ch/entscheid/bger_1C_243_2015</w:t>
      </w:r>
    </w:p>
    <w:p>
      <w:r>
        <w:t>FR: TF 1C_243/2015 du 2 septembre 2015</w:t>
      </w:r>
    </w:p>
    <w:p>
      <w:r>
        <w:t>IT: TF 1C_243/2015 del 2 settembre 2015</w:t>
      </w:r>
    </w:p>
    <w:p>
      <w:pPr>
        <w:pStyle w:val="Heading2"/>
      </w:pPr>
      <w:r>
        <w:t>Erwägungen</w:t>
      </w:r>
    </w:p>
    <w:p>
      <w:r>
        <w:rPr>
          <w:b/>
        </w:rPr>
        <w:t>E. 1</w:t>
      </w:r>
    </w:p>
    <w:p>
      <w:r>
        <w:t>Dirigé contre un arrêt d'irrecevabilité rendu en dernière instance cantonale dans le cadre d'une contestation portant au fond sur un projet d'amélioration structurelle d'une exploitation agricole par la construction d'un hangar, le recours est recevable comme recours en matière de droit public au sens des art. 82 ss LTF .</w:t>
      </w:r>
    </w:p>
    <w:p>
      <w:r>
        <w:t>Le recourant peut se prévaloir d'un intérêt digne de protection à se voir reconnaître la légitimation active (cf. ATF 129 II 297 consid. 2.3 p. 301; 124 II 124 consid. 1b p. 126). Il a donc la qualité pour recourir au sens de l' art. 89 al. 1 LTF . Les autres conditions de recevabilité sont au surplus réunies, de sorte qu'il y a lieu d'entrer en matière sur la question de sa qualité pour agir devant le département.</w:t>
      </w:r>
    </w:p>
    <w:p>
      <w:r>
        <w:rPr>
          <w:b/>
        </w:rPr>
        <w:t>E. 2</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313 s.).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t>En début de mémoire, le recourant résume l'état de fait, mais s'écarte cependant des constatations de l'instance précédente sur certains points et en livre de surcroît sa propre appréciation. Dans cette mesure, et dès lors qu'il n'indique pas en quoi les faits constatés dans l'arrêt attaqué seraient manifestement inexacts ou arbitraires, son argumentation est irrecevable, le Tribunal fédéral n'étant pas une instance d'appel.</w:t>
      </w:r>
    </w:p>
    <w:p>
      <w:r>
        <w:rPr>
          <w:b/>
        </w:rPr>
        <w:t>E. 3</w:t>
      </w:r>
    </w:p>
    <w:p>
      <w:r>
        <w:t>A titre liminaire, il convient de préciser que la réalisation du projet litigieux constitue une amélioration des structures agricoles au sens des art. 87 ss de la loi fédérale sur l'agriculture du 29 avril 1998 (LAgr; RS 910.1). Sur le plan cantonal, l'art. 54 de la loi sur l'agriculture et le développement rural du 8 février 2007 (LcADR; RS/VS 910.1) prévoit que l'autorité compétente pour octroyer les aides à l'investissement délivre toutes les approbations nécessaires à l'exécution des ouvrages bénéficiant de contributions (al. 1), y compris l'autorisation de construire (cf. art. 23 al. 1 et al. 2 let . c de l'ordonnance sur les constructions [OC; RS/VS 705.100]), dans le cadre d'une seule et même procédure (attraction de compétences).</w:t>
      </w:r>
    </w:p>
    <w:p>
      <w:r>
        <w:rPr>
          <w:b/>
        </w:rPr>
        <w:t>E. 4</w:t>
      </w:r>
    </w:p>
    <w:p>
      <w:r>
        <w:t>Sur le fonds, invoquant les art. 89 et 111 LTF , le recourant estime que la qualité pour s'opposer à la décision du DEET aurait dû lui être reconnue. Il soutient qu'en raison de la proximité entre les parcelles agricoles dont il est propriétaire et le projet litigieux il bénéficie d'un intérêt digne de protection à pouvoir agir (cf. consid. 5). Il prétend par ailleurs qu'en tant que concurrent de l'intimé ses intérêts économiques seraient atteints par la réalisation du hangar projeté (cf. consid. 6).</w:t>
      </w:r>
    </w:p>
    <w:p>
      <w:r>
        <w:rPr>
          <w:b/>
        </w:rPr>
        <w:t>E. 4.1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L'arrêt cantonal précise à ce sujet que l'art. 44 de la loi cantonale sur la procédure et la juridiction administratives du 6 octobre 1976 (LPJA; RS/VS 172.6), définissant la qualité pour agir sur le plan cantonal, doit s'interpréter dans le sens de l' art. 111 LTF , ce que le recourant ne conteste pas. Il convient partant d'analyser sa qualité pour recourir sous l'angle de l' art. 89 al. 1 LTF . S'agissant de droit fédéral ( art. 111 al. 1 LTF ), le Tribunal fédéral examine cette question librement.</w:t>
      </w:r>
    </w:p>
    <w:p>
      <w:r>
        <w:t>Il incombe toutefois au recourant d'alléguer, sous peine d'irrecevabilité,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 Cela vaut en particulier lorsque la question de la qualité pour recourir constitue, comme en l'espèce, l'objet même de la contestation ( art. 42 al. 2 LTF ).</w:t>
      </w:r>
    </w:p>
    <w:p>
      <w:r>
        <w:rPr>
          <w:b/>
        </w:rPr>
        <w:t>E. 5</w:t>
      </w:r>
    </w:p>
    <w:p>
      <w:r>
        <w:t>Le recourant affirme que le hangar projeté entraînera non seulement une augmentation du trafic sur la route sise à proximité de ses parcelles, mais également des nuisances sonores et atmosphériques perceptibles depuis celles-ci.</w:t>
      </w:r>
    </w:p>
    <w:p>
      <w:r>
        <w:rPr>
          <w:b/>
        </w:rPr>
        <w:t>E. 5.1</w:t>
      </w:r>
    </w:p>
    <w:p>
      <w:r>
        <w:t>L' art. 89 al. 1 LTF dispose que la qualité pour recourir est reconnue à toute personne particulièrement atteinte par la décision attaquée (let. b) et qui dispose d'un intérêt digne de protection à son annulation ou à sa modification (let. c).</w:t>
      </w:r>
    </w:p>
    <w:p>
      <w:r>
        <w:rPr>
          <w:b/>
        </w:rPr>
        <w:t>E. 5.1.1</w:t>
      </w:r>
    </w:p>
    <w:p>
      <w:r>
        <w:t>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140 II 214 consid. 2.3 p. 219; 136 II 281 consid. 2.3.1 p. 285; H. AEMISEGGER/S. HAAG, Commentaire pratique de la protection juridique en matière d'aménagement du territoire, 2010, n. 123 ad art. 34 LAT , p. 182 s.). La distance entre bâtiments constitue ainsi un critère essentiel, la jurisprudence reconnaissant généralement la qualité pour agir lorsque l'opposant est situé à quelques dizaines de mètres du projet litigieux (cf. ATF 137 II 30 consid. 2.2.3 p. 33; arrêt 1C_346/2011 du 1</w:t>
      </w:r>
    </w:p>
    <w:p>
      <w:r>
        <w:t>er février 2012 publié in DEP 2012 p. 692, consid. 2.3).</w:t>
      </w:r>
    </w:p>
    <w:p>
      <w:r>
        <w:rPr>
          <w:b/>
        </w:rPr>
        <w:t>E. 5.1.2</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 s.; 133 II 249 consid. 1.3.1 p. 252). Une atteinte particulière est reconnue lorsqu'il faut notamment s'attendre avec certitude ou avec une grande vraisemblance à des immissions sur le fonds voisin en provenance de l'installation ( ATF 136 II 281 consid. 2.3.1 p. 285; 121 II 171 consid. 2b p. 174).</w:t>
      </w:r>
    </w:p>
    <w:p>
      <w:r>
        <w:rPr>
          <w:b/>
        </w:rPr>
        <w:t>E. 5.2</w:t>
      </w:r>
    </w:p>
    <w:p>
      <w:r>
        <w:t>Le recourant, propriétaire de différentes parcelles agricoles se trouvant - pour la plus proche d'entre elles - à une distance minimale d'environ 50 m du fonds sur lequel est projeté le hangar litigieux, se plaint de l'accroissement du trafic qu'engendrera cette nouvelle construction et des nuisances sonores liées à son utilisation.</w:t>
      </w:r>
    </w:p>
    <w:p>
      <w:r>
        <w:t>La cour cantonale a jugé qu'une augmentation du bruit et du trafic sur la route cantonale bordant le secteur ne pourra être que faible voire inexistante; elle a retenu que les véhicules destinés à être remisés dans ce hangar font partie du parc actuellement détenu par l'intimé et transitent aujourd'hui déjà par cette route, celle-ci étant la seule à desservir le quartier. Elle a par ailleurs estimé que les nuisances sonores alléguées - pour peu qu'elles soient vraisemblables - seront en tout état négligeables dans la mesure où la parcelle du recourant la plus proche se situe à environ 50 m du projet litigieux et qu'elle en est séparée par une large et dense bande forestière. Le Tribunal cantonal a enfin relevé que les inconvénients sonores liés à l'utilisation de cette construction, vouée à l'entreposage de machines et de véhicules agricoles, ne pourront intervenir que sur de courts laps de temps, lors de la sortie ou de la remise de ce matériel.</w:t>
      </w:r>
    </w:p>
    <w:p>
      <w:r>
        <w:rPr>
          <w:b/>
        </w:rPr>
        <w:t>E. 5.2.1</w:t>
      </w:r>
    </w:p>
    <w:p>
      <w:r>
        <w:t>Cette appréciation n'apparaît pas manifestement insoutenable et le recourant ne fournit aucun élément concret commandant de s'en écarter, se contentant d'y opposer de manière appellatoire sa propre opinion de la situation. Il n'est en particulier pas établi que le transfert du lieux de stationnement actuel vers le hangar projeté - situé selon le recourant à 1 km des bâtiments de l'exploitation de l'intimé - modifiera l'organisation de celle-ci au point de générer une augmentation significative de la circulation par la création d'un trafic nouveau lié au déplacement quotidien des véhicules agricoles. Il ne ressort pas non plus du dossier que la construction litigieuse abritera - comme le prétend le recourant - un atelier technique ni que des travaux du bois y seront réalisés. Enfin et contrairement à ce que soutient implicitement le recourant, la cour cantonale ne s'est pas uniquement fondée sur les spécificités liées à l'utilisation d'une place d'entreposage (caractérisée par des nuisances de courtes de durée intervenant lors de la sortie ou de la remise des véhicules) pour nier la vraisemblance des immissions alléguées et, par voie de conséquence, son intérêt à l'annulation du permis de construire; celle-ci a également tenu compte de la distance entre les parcelles, séparées par une large bande de forêt, de même que du caractère exclusivement agricole des fonds du recourant - depuis lesquels la construction litigieuse ne sera de surcroît pas visible. C'est ainsi au terme d'un examen de l'ensemble des circonstances concrètes conforme aux critères jurisprudentiels basés sur la proximité spatiale et le risque d'immissions que l'instance précédente a exclu, sans que cela ne soit critiquable, la qualité pour agir du recourant.</w:t>
      </w:r>
    </w:p>
    <w:p>
      <w:r>
        <w:t>Ce premier grief doit en conséquence être rejeté.</w:t>
      </w:r>
    </w:p>
    <w:p>
      <w:r>
        <w:rPr>
          <w:b/>
        </w:rPr>
        <w:t>E. 6</w:t>
      </w:r>
    </w:p>
    <w:p>
      <w:r>
        <w:t>Le recourant, en tant qu'agriculteur, déduit également sa qualité pour recourir de son rapport de concurrence avec l'intimé. Il soutient à cet égard que ce n'est pas sans raison que l'art. 6 de l'ordonnance sur les améliorations structurelles dans l'agriculture (OAS; RS 913.1) impose de procéder à un examen des entreprises voisines.</w:t>
      </w:r>
    </w:p>
    <w:p>
      <w:r>
        <w:t>L' art. 6 al. 2 OAS prévoit que, lorsque de gros investissements sont prévus, leur utilité doit être démontrée par un programme d'exploitation. Avant l'octroi d'une aide, il convient de décrire, s'il y a lieu, la structure des entreprises voisines ainsi que leur situation en matière de succession, et d'étudier des solutions de reconversion appropriées, de même que les formes de collaboration interentreprises envisageables.</w:t>
      </w:r>
    </w:p>
    <w:p>
      <w:r>
        <w:t>On peut douter que cette disposition soit de nature à créer une relation particulièrement étroite entre les concurrents telle que l'exige la jurisprudence en matière de qualité pour recourir (cf. ATF 139 II 328 consid. 3.3 p. 333; arrêt 2C_485/2010 du 3 juillet 2012 consid. 1.2.4 non publié in ATF 138 I 378 ). En effet, l'examen de la structure des entreprises voisines ne vise pas ici à influencer, voire à réguler le marché agricole, mais tend à examiner les perspectives d'avenir, afin d'éviter de mauvais investissements, ainsi que d'étudier la mise en oeuvre d'éventuelles mesures de collaborations interentreprises susceptibles de faire baisser les coûts de production (cf. Message du Conseil fédéral concernant l'évolution future de la politique agricole dans les années 2014 à 2017, in FF 2012 1857 p. 2014 s.; voir également art. 89 al. 1 let. b et d LAgr). L' art. 6 OAS s'inscrit ainsi dans la procédure d'examen de la gestion de l'exploitation concernée (cf. également titre marginal de l' art. 6 OAS ) afin d'assurer que l'investissement bénéficiant d'une contribution de la Confédération soit économiquement supportable pour celle-ci.</w:t>
      </w:r>
    </w:p>
    <w:p>
      <w:r>
        <w:t>Quoi qu'il en soit, la question de l'existence d'une relation étroite entre concurrents peut en l'espèce demeurer indécise, le recourant n'indiquant en effet ni la nature exacte de son activité économique ni en quoi la réalisation du hangar litigieux pourrait avoir une influence effective sur celle-ci, respectivement sur la concurrence, alors que cette démonstration lui incombe au stade de la recevabilité ( art. 42 al. 2 LTF ; cf. consid. 4.1 ci-dessus). Il se borne dans ce cadre à affirmer, sans autre forme de précision, que la construction litigieuse permettra à l'intimé d'étendre son exploitation, ce qui engendrera "une importante pression sur l'utilisation des terres agricoles de la commune"; cette argumentation s'avère, au regard des exigences de motivation rappelées ci-dessus, insuffisante à rendre vraisemblable l'intérêt concret dont il se prévaut et ne permet de toute façon pas de comprendre en quoi le déplacement du lieux de stationnement des véhicules agricoles de l'intimé vers les infrastructures projetées pourrait porter préjudice à ses intérêts économiques. Il s'en suit que ce grief doit également être écarté, dans la faible mesure de sa recevabilité.</w:t>
      </w:r>
    </w:p>
    <w:p>
      <w:r>
        <w:rPr>
          <w:b/>
        </w:rPr>
        <w:t>E. 7</w:t>
      </w:r>
    </w:p>
    <w:p>
      <w:r>
        <w:t>Les considérants qui précèdent conduisent au rejet du recours dans la mesure de sa recevabilité. Le recourant qui succombe doit supporter les frais de justice ( art. 66 al. 1 LTF ). Celui-ci versera en outre une indemnité de dépens à l'intimé, qui obtient gain de cause avec l'assistance d'un avocat ( art. 68 al. 1 et 2 LTF ). Il n'est pas alloué de dépens à la commune de Massongex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