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243/2009 vom 15. Juni 2009</w:t>
      </w:r>
    </w:p>
    <w:p>
      <w:r>
        <w:t>Bundesgericht, 2009-06-15, DE</w:t>
      </w:r>
    </w:p>
    <w:p>
      <w:r>
        <w:rPr>
          <w:b/>
        </w:rPr>
        <w:t xml:space="preserve">Quelle: </w:t>
      </w:r>
      <w:r>
        <w:t>https://mcp.opencaselaw.ch/entscheid/bger_1C_243_2009</w:t>
      </w:r>
    </w:p>
    <w:p>
      <w:r>
        <w:t>FR: TF 1C 243/2009 du 15 juin 2009</w:t>
      </w:r>
    </w:p>
    <w:p>
      <w:r>
        <w:t>IT: TF 1C 243/2009 del 15 giugno 2009</w:t>
      </w:r>
    </w:p>
    <w:p>
      <w:pPr>
        <w:pStyle w:val="Heading2"/>
      </w:pPr>
      <w:r>
        <w:t>Regeste</w:t>
      </w:r>
    </w:p>
    <w:p>
      <w:r>
        <w:t>Auslieferung an Deutschland | Rechtshilfe und Auslieferung</w:t>
      </w:r>
    </w:p>
    <w:p>
      <w:pPr>
        <w:pStyle w:val="Heading2"/>
      </w:pPr>
      <w:r>
        <w:t>Erwägungen</w:t>
      </w:r>
    </w:p>
    <w:p>
      <w:r>
        <w:rPr>
          <w:b/>
        </w:rPr>
        <w:t>E. 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Der Begriff des schweren Mangels des ausländischen Verfahrens ist restriktiv auszulegen ( BGE 133 IV 271 E. 2.2.2 S. 274, mit Hinweis). Art. 84 BGG bezweckt die wirksame Begrenzung des Zugangs zum Bundesgericht im Bereich der internationalen Rechtshilfe in Strafsachen ( BGE 134 IV 156 E. 1.3.1 S. 160, mit Hinweisen).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 Bei der Beantwortung der Frage, ob ein besonders bedeutender Fall gegeben ist, steht dem Bundesgericht ein weiter Ermessensspielraum zu ( BGE 134 IV 156 E. 1.3.1 S. 160, mit Hinweis).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Erachtet das Bundesgericht eine Beschwerde auf dem Gebiet der internationalen Rechtshilfe in Strafsachen als unzulässig, so fällt es gemäss Art. 107 Abs. 3 BGG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w:t>
      </w:r>
    </w:p>
    <w:p>
      <w:r>
        <w:t>Es kann offen bleiben, ob die Beschwerde den Begründungsanforderungen von Art. 42 Abs. 2 Satz 2 BGG genügt. Ein besonders bedeutender Fall im Sinne von Art. 84 BGG ist hier jedenfalls zu verneinen. Hinreichende Anhaltspunkte dafür, dass elementare Verfahrensgrundsätze verletzt worden sind oder das Verfahren im Ausland an schweren Mängeln leidet, bestehen nicht. Auch andere Gründe für die Annahme eines besonders bedeutenden Falls sind nicht gegeben. Das vom Beschwerdeführer (Beschwerde S. 4) angeführte Urteil des Europäischen Gerichtshofes vom 8. Juni 2006 in Sachen Sürmeli gegen Deutschland (Nr. 75529/01; EuGRZ 2007 S. 255) betrifft eine andere Person und einen anderen Fall, ist hier also nicht einschlägig. Die Vorinstanz hat sich mit den wesentlichen Einwänden des Beschwerdeführers auseinander gesetzt. Ihre Erwägungen, auf die verwiesen werden kann, lassen keine Bundesrechtsverletzung erkennen. Für das Bundesgericht besteht deshalb kein Anlass, die Sache an die Hand zu nehmen. Die Beschwerde ist danach unzulässig.</w:t>
      </w:r>
    </w:p>
    <w:p>
      <w:r>
        <w:rPr>
          <w:b/>
        </w:rPr>
        <w:t>E. 3</w:t>
      </w:r>
    </w:p>
    <w:p>
      <w:r>
        <w:t>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