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1C_242/2009 vom 28. Juli 2009</w:t>
      </w:r>
    </w:p>
    <w:p>
      <w:r>
        <w:t>Bundesgericht, 2009-07-28, FR</w:t>
      </w:r>
    </w:p>
    <w:p>
      <w:r>
        <w:rPr>
          <w:b/>
        </w:rPr>
        <w:t xml:space="preserve">Quelle: </w:t>
      </w:r>
      <w:r>
        <w:t>https://mcp.opencaselaw.ch/entscheid/bger_1C_242_2009</w:t>
      </w:r>
    </w:p>
    <w:p>
      <w:r>
        <w:t>FR: TF 1C_242/2009 du 28 juillet 2009</w:t>
      </w:r>
    </w:p>
    <w:p>
      <w:r>
        <w:t>IT: TF 1C_242/2009 del 28 luglio 2009</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Il reproche au Tribunal administratif fédéral d'avoir apprécié de façon arbitraire les preuves et d'avoir établi les faits fondant le retrait de la naturalisation de façon manifestement inexacte, rendant ainsi une décision contraire à la LN. Il soutient également que l'instance précédente n'aurait pas tenu compte de circonstances pertinentes dans l'examen des éléments avancés pour renverser cette présomption.</w:t>
      </w:r>
    </w:p>
    <w:p>
      <w:r>
        <w:rPr>
          <w:b/>
        </w:rPr>
        <w:t>E. 2.1</w:t>
      </w:r>
    </w:p>
    <w:p>
      <w:r>
        <w:t>Le recourant ne peut critiquer la constatation de faits, susceptibles d'avoir une influence déterminante sur l'issue de la procédure, que si ceux-ci ont été établis de manière manifestement inexacte - notion qui correspond à celle d'arbitraire -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ce qui signifie que le recourant doit formuler sa critique en respectant les exigences de motivation de l' art. 106 al. 2 LTF ( ATF 133 II 249 consid. 1.4.3 p. 254 s.).</w:t>
      </w:r>
    </w:p>
    <w:p>
      <w:r>
        <w:t>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1C_421/2008 du 15 décembre 2008 consid. 4.2.1 et les arrêts cités).</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w:t>
      </w:r>
    </w:p>
    <w:p>
      <w:r>
        <w:rPr>
          <w:b/>
        </w:rPr>
        <w:t>E. 2.2.2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(arrêt 1C_190/2008 du 29 janvier 2009 consid. 3 destiné à la publication et les arrêts cités).</w:t>
      </w:r>
    </w:p>
    <w:p>
      <w:r>
        <w:rPr>
          <w:b/>
        </w:rPr>
        <w:t>E. 2.3</w:t>
      </w:r>
    </w:p>
    <w:p>
      <w:r>
        <w:t>En l'espèce, le Tribunal administratif fédéral a considéré que le laps de temps relativement court entre la déclaration commune (septembre 2003), l'octroi de la naturalisation (octobre 2003), la signature de la requête commune de divorce (juillet et août 2004) et le dépôt de celle-ci (octobre 2004), le prononcé définitif et exécutoire du divorce (juillet 2005) et le remariage du recourant (août 2006) fondait la présomption que le couple n'avait plus la volonté de maintenir une communauté conjugale stable au sens de l' art. 27 LN , lors de la signature de la déclaration commune et à plus fortes raisons lors de l'octroi de la naturalisation. Cette présomption de fait n'est pas discutée par le recourant qui admet que "les circonstances et en particulier la chronologie des événements ont pu créer une présomption d'abus".</w:t>
      </w:r>
    </w:p>
    <w:p>
      <w:r>
        <w:rPr>
          <w:b/>
        </w:rPr>
        <w:t>E. 2.4</w:t>
      </w:r>
    </w:p>
    <w:p>
      <w:r>
        <w:t>Conformément à la jurisprudence précitée, il convient donc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2.4.1</w:t>
      </w:r>
    </w:p>
    <w:p>
      <w:r>
        <w:t>Le recourant prétend d'abord que le Tribunal administratif fédéral a retenu à tort que les difficultés conjugales avaient débuté en 2003. L'intéressé ne parvient cependant pas à remettre en cause cette appréciation de manière convaincante puisqu'il admet que "les ex-époux vivaient [en 2003] les circonstances qui allaient par la suite causer la ruine de leur union conjugale". Il ne conteste pas non plus que son ex-femme a relevé que les problèmes de santé de ses parents avaient eu une influence notable dans la dégradation de leurs relations conjugales et avaient contribué à ce qu'ils s'éloignent l'un de l'autre: pour cette raison, elle a qualifié l'année 2003 de "pénible". Enfin, s'il est vrai que le couple a passé des vacances ensemble en Tunisie en juillet 2003, le prénommé a souligné dans un courrier du 7 juin 2007 que cette période avait été "extrêmement pénible et moralement difficile" et que "cette situation avait accéléré le début des mésententes et des désaccords qui surgissaient au sein du couple". Dans ces conditions, le Tribunal administratif fédéral pouvait retenir de manière soutenable que les intéressés connaissaient déjà des difficultés en 2003.</w:t>
      </w:r>
    </w:p>
    <w:p>
      <w:r>
        <w:t>Pour le recourant, la rupture serait due au fait qu'entre octobre 2003 et l'été 2004, "les loisirs étaient mis de côté" en raison des visites que le couple rendait au père de l'ex-épouse à l'hôpital. Si cet élément tend à confirmer les tensions au sein du couple, il n'est pas de nature à précipiter subitement la fin de la vie d'un couple marié depuis sept ans, sauf à considérer que leur union n'était pas stable. De même, le fait que la demande de divorce ait été déposée par l'ex-épouse le 6 octobre 2004 n'est pas déterminant, dans la mesure où il ressort du dossier que le recourant avait déjà contresigné une requête commune de divorce le 14 juillet 2004. L'intéressé se prévaut également en vain du fait qu'il s'est occupé de ses anciens beaux-parents malades et du fait que la séparation des ex-époux a eu lieu moins d'un an après l'octroi de la naturalisation: ces événements ne sont pas susceptibles de rendre vraisemblable que l'intéressé n'avait pas conscience de la gravité des problèmes de couple au moment de la signature de la déclaration commune.</w:t>
      </w:r>
    </w:p>
    <w:p>
      <w:r>
        <w:t>Le recourant fait ensuite grief au Tribunal administratif fédéral d'avoir établi de façon erronée que sa nouvelle épouse était "une amie d'enfance qu'il avait retrouvée par hasard au nouvel an 2006". Ce fait ressort pourtant expressément du recours que l'intéressé a adressé au Tribunal administratif fédéral, dans lequel il allègue en substance s'être "remarié avec une amie d'enfance qu'il avait retrouvée tout à fait par hasard lors du nouvel an 2005-2006". Le grief tombe donc à faux. Il en va de même des critiques relatives à la différence d'âge entre les ex-époux, dans la mesure où l'instance précédente ne s'est pas fondée sur cet élément pour établir la présomption.</w:t>
      </w:r>
    </w:p>
    <w:p>
      <w:r>
        <w:t>Enfin, le fait - dont se prévaut le recourant - que le mariage se soit déroulé de façon harmonieuse pendant de nombreuses années et que les ex-époux étaient bien intégrés au sein de leur belle-famille respective est sans pertinence pour l'examen de la question de savoir s'il y a eu obtention frauduleuse de naturalisation au sens de l' art. 41 LN , vu la jurisprudence susmentionnée.</w:t>
      </w:r>
    </w:p>
    <w:p>
      <w:r>
        <w:rPr>
          <w:b/>
        </w:rPr>
        <w:t>E. 2.4.2</w:t>
      </w:r>
    </w:p>
    <w:p>
      <w:r>
        <w:t>En définitive, le recourant n'apporte aucun élément propre à démontrer la survenance d'un événement extraordinaire postérieur à la signature de la déclaration commune et susceptible d'expliquer une dégradation aussi rapide du lien conjugal, après plus de sept ans de mariage. L'intéressé ne rend pas non plus vraisemblable qu'en septembre 2003, au moment de la signature de la déclaration commune, il n'avait pas conscience du fait que la communauté conjugale n'était plus orientée vers l'avenir. Les éléments qu'il a avancés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au recourant.</w:t>
      </w:r>
    </w:p>
    <w:p>
      <w:r>
        <w:rPr>
          <w:b/>
        </w:rPr>
        <w:t>E. 3</w:t>
      </w:r>
    </w:p>
    <w:p>
      <w:r>
        <w:t>Il s'ensuit que le recours doit être rejeté. Le recourant, qui succombe, doit supporter les frais de la présente procédure ( art. 66 al. 1 LTF ). Largement appellatoire, le recours paraissait d'emblée voué à l'échec. En conséquence, l'assistance judiciaire doit être refusée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