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23/2019 vom 3. April 2019</w:t>
      </w:r>
    </w:p>
    <w:p>
      <w:r>
        <w:t>Bundesgericht, 2019-04-03, FR</w:t>
      </w:r>
    </w:p>
    <w:p>
      <w:r>
        <w:rPr>
          <w:b/>
        </w:rPr>
        <w:t xml:space="preserve">Quelle: </w:t>
      </w:r>
      <w:r>
        <w:t>https://mcp.opencaselaw.ch/entscheid/bger_1C_23_2019</w:t>
      </w:r>
    </w:p>
    <w:p>
      <w:r>
        <w:t>FR: TF 1C 23/2019 du 3 avril 2019</w:t>
      </w:r>
    </w:p>
    <w:p>
      <w:r>
        <w:t>IT: TF 1C 23/2019 del 3 aprile 2019</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la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L'entrée en vigueur, au 1 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tous les faits se sont déroulés sous l'empire de l'ancien droit, de sorte que l'aLN s'applique.</w:t>
      </w:r>
    </w:p>
    <w:p>
      <w:r>
        <w:rPr>
          <w:b/>
        </w:rPr>
        <w:t>E. 3</w:t>
      </w:r>
    </w:p>
    <w:p>
      <w:r>
        <w:t>Le recourant conteste avoir obtenu la naturalisation par des déclarations mensongères et soutient qu'il serait parvenu à renverser la présomption résultant de l'enchaînement chronologique des faits, et ainsi à faire admettre qu'il existe une possibilité raisonnable qu'il ait voulu former une communauté stable avec son épouse.</w:t>
      </w:r>
    </w:p>
    <w:p>
      <w:r>
        <w:rPr>
          <w:b/>
        </w:rPr>
        <w:t>E. 3.1</w:t>
      </w:r>
    </w:p>
    <w:p>
      <w:r>
        <w:t>Conformément à l'art. 41 al. 1 aLN, le SEM peut, avec l'assentiment de l'autorité du canton d'origine,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du Tribunal fédéral 1C_601/2017 du 1 er mars 2018 consid. 3.1.1; 1C_588/2017 du 30 novembre 2017 consid. 5.1). 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3.2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3.3</w:t>
      </w:r>
    </w:p>
    <w:p>
      <w:r>
        <w:t>En l'espèce, le Tribunal administratif fédéral a considéré que le court laps de temps séparant la déclaration commune (22 août 2009), l'octroi de la naturalisation facilitée (20 novembre 2009), la séparation des époux (décembre 2010), le dépôt d'une demande commune de divorce (le 3 mai 2011) et le jugement de divorce (7 octobre 2011) était de nature à fonder la présomption de fait selon laquelle, au moment de la signature de la déclaration commune, la communauté conjugale des époux n'était plus stable et orientée vers l'avenir au sens de l'art. 27 aLN. Le recourant ne discute pas cette présomption de fait. Les éléments précités sont d'ailleurs propres à fonder la présomption que sa naturalisation a été obtenue frauduleusement, la séparation des époux étant intervenue 13 mois seulement après l'octroi de la naturalisation facilitée (cf. notamment arrêts du Tribunal fédéral 1C_82/2018 du 31 mai 2018 consid. 4.3; 1C_362/2017 du 12 octobre 2017 consid. 2.3; 1C_796/2013 du 13 mars 2014 consid. 3.2; 1C_503/2015 du 21 janvier 2016 consid. 3.2 et les arrêts cités). L'instance précédente n'en est cependant pas restée au constat que l'enchaînement chronologique des faits conduisait à cette présomption. Elle a ajouté que celle-ci était renforcée par plusieurs éléments, notamment le dépôt prématuré de la demande de naturalisation (plus de neuf mois avant l'échéance du délai relatif à la communauté conjugale avec un ressortissant suisse), l'absence de rencontre de l'ex-épouse avec les parents du recourant, la déclaration de l'ex-épouse selon laquelle les époux avaient entrepris très peu d'activités communes après l'octroi de la naturalisation facilitée, le divorce d'un commun accord ainsi que l'absence d'efforts pour sauver le mariage, et le remariage peu de temps après le divorce avec une ressortissante turque avec laquelle il a conçu un enfant. Le recourant soutient que ces faits sont appréciés de manière tronquée et avec un certain parti-pris par l'instance précédente. Il est vrai que certains des éléments énumérés par le Tribunal administratif fédéral ne permettent guère d'évaluer la stabilité de l'union conjugale au moment de la signature de la déclaration commune. Cependant, le recourant ne peut pas s'en prévaloir dans la mesure où ces éléments ont été pris en compte non pour établir la présomption mais pour renforcer la présomption établie. 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3.4</w:t>
      </w:r>
    </w:p>
    <w:p>
      <w:r>
        <w:t>Pour expliquer une soudaine dégradation du lien conjugal treize mois après l'octroi de la naturalisation, le recourant se borne à affirmer, de manière appellatoire, que les troubles bipolaires de son ex-épouse - dont elle souffre depuis l'âge de 20 ans - se seraient détériorés au fil des années. Il ajoute qu'il ne lui est pas possible de produire le dossier médical de son ex-épouse. Il affirme aussi que la différence d'âge de 21 ans entre son ex-épouse et lui n'a jamais posé de problème. Il déclare encore que ses ambitions de paternité ne sont apparues qu'après sa séparation. Il souligne aussi que l'initiative de la séparation et du divorce vient de son ex-épouse et non de lui et est la conséquence du fait qu'ils n'ont pas réussi à s'accorder sur leur lieu de résidence: après avoir acheté un appartement en Turquie en 2010, l'ex-épouse avait refusé de s'y installer. Nonobstant le fait que ces éléments ne permettent pas d'établir qu'en août 2009, au moment de la signature de la déclaration commune, l'harmonie existait toujours au sein du couple au point d'envisager la continuation de leur vie maritale pour une période durable, le recourant n'avance aucun élément extraordinaire qui aurait précipité la fin de son union, respectivement qui démontrerait qu'il n'avait pas conscience durant la procédure de naturalisation facilitée de la détérioration de sa relation conjugale. Il ne répond pas non plus à l'argumentation du Tribunal administratif fédéral qui a retenu que le recourant avait conscience de la maladie psychique de l'ex-épouse lors de la signature de la déclaration commune et que rien ne prouvait qu'une détérioration de cette maladie était survenue entre la déclaration commune en août 2009 et la séparation des conjoints fin 2010. Quant au désir de paternité du recourant, l'instance précédente a retenu la déclaration de l'ex-épouse selon laquelle le recourant lui avait avoué au cours de la procédure de divorce qu'il mourrait d'envie d'avoir des enfants. Il a aussi relevé à cet égard que celui-ci avait rapidement mis enceinte sa seconde épouse et n'a pas exclu que cette envie de paternité existait déjà au moment de la signature de la déclaration commune. Le recourant souligne qu'il est devenu père seulement à l'âge de 40 ans, ce qui démontrerait que la question de la paternité n'était pas une priorité pour lui. Cet élément n'est cependant pas propre à rendre vraisemblable qu'en août 2009, au moment de la signature de la déclaration commune, il n'avait pas conscience de ce que la communauté conjugale n'était plus orientée vers l'avenir. De même, il importe peu pour l'issue de la cause que l'ex-épouse ait été à l'origine de la procédure de séparation. Le recourant critique en outre le prétendu schématisme des autorités précédentes lorsqu'elles ont mentionné la différence d'âge des époux. Il s'agit cependant là d'une circonstance objective qui, prise isolément, n'a peut-être pas encore de portée déterminante. La juridiction précédente a toutefois mis cet élément en lien avec le mariage subséquent du recourant avec une compatriote très nettement plus jeune que sa première épouse. Même si l'utilisation du terme "épouse turque standard" peut être perçue comme maladroite, on ne discerne là aucun schématisme ni déduction insoutenable et la critique du recourant se limite à opposer sa version des faits à celle retenue par l'instance précédente.</w:t>
      </w:r>
    </w:p>
    <w:p>
      <w:r>
        <w:rPr>
          <w:b/>
        </w:rPr>
        <w:t>E. 3.5</w:t>
      </w:r>
    </w:p>
    <w:p>
      <w:r>
        <w:t>En définitive, les éléments avancés par le recourant ne suffisent pas à renverser la présomption établie. Par conséquent, les conditions d'application de l'art. 41 aLN sont réunies et le Tribunal administratif fédéral n'a pas violé le droit fédéral en confirmant l'annulation de la naturalisation facilitée qui avait été octroyée au recourant.</w:t>
      </w:r>
    </w:p>
    <w:p>
      <w:r>
        <w:rPr>
          <w:b/>
        </w:rPr>
        <w:t>E. 4</w:t>
      </w:r>
    </w:p>
    <w:p>
      <w:r>
        <w:t>Il s'ensuit que le recours est rejeté.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