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239/2020 vom 18. Mai 2020</w:t>
      </w:r>
    </w:p>
    <w:p>
      <w:r>
        <w:t>Bundesgericht, 2020-05-18, DE</w:t>
      </w:r>
    </w:p>
    <w:p>
      <w:r>
        <w:rPr>
          <w:b/>
        </w:rPr>
        <w:t xml:space="preserve">Quelle: </w:t>
      </w:r>
      <w:r>
        <w:t>https://mcp.opencaselaw.ch/entscheid/bger_1C_239_2020</w:t>
      </w:r>
    </w:p>
    <w:p>
      <w:r>
        <w:t>FR: TF 1C 239/2020 du 18 mai 2020</w:t>
      </w:r>
    </w:p>
    <w:p>
      <w:r>
        <w:t>IT: TF 1C 239/2020 del 18 maggio 2020</w:t>
      </w:r>
    </w:p>
    <w:p>
      <w:pPr>
        <w:pStyle w:val="Heading2"/>
      </w:pPr>
      <w:r>
        <w:t>Regeste</w:t>
      </w:r>
    </w:p>
    <w:p>
      <w:r>
        <w:t>Internationale Rechtshilfe in Strafsachen an Brasilien; Herausgabe von Beweismitteln; Dauer der Beschlagnahme | Rechtshilfe und Auslieferung</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Beschwerdeführerinnen die Beschwerde auf Französisch verfasst haben.</w:t>
      </w:r>
    </w:p>
    <w:p>
      <w:r>
        <w:rPr>
          <w:b/>
        </w:rPr>
        <w:t>E. 2.1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Weiter ist erforderlich, dass sich um einen vor Bundesgericht anfechtbaren Entscheid handelt ( Art. 90 ff. BGG ).</w:t>
      </w:r>
    </w:p>
    <w:p>
      <w:r>
        <w:rPr>
          <w:b/>
        </w:rPr>
        <w:t>E. 2.2</w:t>
      </w:r>
    </w:p>
    <w:p>
      <w:r>
        <w:t>Insoweit als der Entscheid des Bundesstrafgerichts die Herausgabe der Kontounterlagen an Brasilien erlaubt, handelt es sich um einen nach Art. 90 BGG anfechtbaren Endentscheid. Insoweit, als er die Aufrechterhaltung der Kontosperre bestätigt, schliesst er jedoch das Rechtshilfeverfahren nicht ab (siehe Art. 33a IRSV [SR 351.11]). In dieser Hinsicht ist er als Zwischenentscheid betreffend eine Beschlagnahme zu qualifizieren und ist gemäss Art. 93 Abs. 2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Die Beschwerdeführerinnen legen nicht dar, weshalb ihnen aufgrund der Kontosperre ein nicht wieder gutzumachender Nachteil im Sinne von Art. 93 Abs. 1 lit. a BGG drohen soll. Auf die Beschwerde ist deshalb nicht einzutreten, soweit sie sich gegen die Beschlagnahme richtet (Urteil 1C_387/2019 vom 29. Juli 2019 E. 1.1 mit Hinweis). Wie im Folgenden darzulegen ist, ist der Fall darüber hinaus auch nicht besonders bedeutsam.</w:t>
      </w:r>
    </w:p>
    <w:p>
      <w:r>
        <w:rPr>
          <w:b/>
        </w:rPr>
        <w:t>E. 2.3</w:t>
      </w:r>
    </w:p>
    <w:p>
      <w:r>
        <w:t>Ein besonders bedeutender Fall gemäss Art. 84 BGG liegt insbesondere vor, wenn Gründe für die Annahme bestehen, dass elementare Verfahrensgrundsätze verletzt worden sind oder das Verfahren im Ausland schwere Mängel aufweist (Abs. 2;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2.4</w:t>
      </w:r>
    </w:p>
    <w:p>
      <w:r>
        <w:t>Die Beschwerdeführerinnen kritisieren, das Rechtshilfeersuchen komme einer sogenannten fishing expedition gleich. Die von den irregulären Finanzoperateuren ("doleiros") verschobenen Gelder beliefen sich auf USD 1,6 Mia. Dagegen betrage die Deliktssumme bei den E.________ vorgeworfenen Taten nur USD 100 Mio. Dies zeige, dass in Verletzung des Verhältnismässigkeitsprinzips auch Gelder von Personen erfasst würden, die sich der "doleiros" lediglich zur Steuerhinterziehung bedienten. Für diese dürfe keine Rechtshilfe geleistet werden ( Art. 3 Abs. 3 IRSG [SR 351.1]). Das Bundesstrafgericht führt aus, dass für die Bestimmung des Umfangs der zu übermittelnden Aktenstücke deren potenzielle Erheblichkeit massgeblich sei. Dem ersuchenden Staat seien alle diejenigen Aktenstücke zu übermitteln, die sich auf den im Rechtshilfeersuchen dargelegten Sachverhalt beziehen; nicht zu übermitteln sei nur, was für das ausländische Strafverfahren mit Sicherheit nicht erheblich sei. Dabei dürfe die Behörde über das Rechtshilfeersuchen zwar nicht hinausgehen, sie dürfe dieses aber nach Massgabe des Zwecks weit auslegen. Ziele das Rechtshilfeersuchen auf die Ermittlung des Wegs ab, auf dem Geldmittel möglicherweise strafbarer Herkunft verschoben worden seien, so seien die Behörden des ersuchenden Staats grundsätzlich über alle Transaktionen zu informieren, die über in die Angelegenheit verwickelte Konten getätigt worden seien. Diese Ausführungen entsprechen der bundesgerichtlichen Rechtsprechung ( BGE 136 IV 82 E. 4 S. 85 ff.; 128 II 407 E. 6.3.1 S. 422 f.; 129 II 462 E. 5.3 S. 467 f.; je mit Hinweisen). Weiter hat das Bundesstrafgericht dargelegt, dass mit den Strafverfolgungsbehörden kooperierende Finanzoperateure ausgesagt hätten, zum Waschen von Korruptionsgeldern ein Netzwerk von Finanzagenten und ein computerisiertes System namens "BankDrop" geschaffen zu haben. Wenn es im vorliegenden Fall das Rechtshilfeersuchen in dem Sinne auslegt, dass um umfassende Angaben über jene Konten ersucht wird, die mit Zahlungen aus diesem Netzwerk alimentiert wurden, ist dies nicht bundesrechtswidrig. Das Bundesstrafgericht hat zudem hervorgehoben, dass gemäss Ersuchen E.________ nur einer der staatlichen Funktionäre gewesen ist, der auf die Dienstleistungen der Finanzoperateure zurückgegriffen habe. Dass die ihn betreffende Deliktssumme nur einen Bruchteil der durch das erwähnte System geschleusten Gelder ausmacht, lässt das Rechtshilfeersuchen vor diesem Hintergrund nicht als fishing expedition erscheinen. Rechtliche Grundsatzfragen stellen sich nicht. Auch der Umfang der auf den betroffenen Konten liegenden Gelder reicht allein nicht aus, um dem Fall eine besondere Bedeutung zu verleihen.</w:t>
      </w:r>
    </w:p>
    <w:p>
      <w:r>
        <w:rPr>
          <w:b/>
        </w:rPr>
        <w:t>E. 3</w:t>
      </w:r>
    </w:p>
    <w:p>
      <w:r>
        <w:t>Auf die Beschwerde ist nicht einzutreten. Damit wird das Gesuch um aufschiebende Wirkung gegenstandslos. Der Beschwerde kommt im vorliegenden Fall ohnehin schon von Gesetzes wegen aufschiebende Wirkung zu ( Art. 103 Abs. 2 lit. c BGG ). 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