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1C_238/2018 vom 21. Juni 2018</w:t>
      </w:r>
    </w:p>
    <w:p>
      <w:r>
        <w:t>Bundesgericht, 2018-06-21, DE</w:t>
      </w:r>
    </w:p>
    <w:p>
      <w:r>
        <w:rPr>
          <w:b/>
        </w:rPr>
        <w:t xml:space="preserve">Quelle: </w:t>
      </w:r>
      <w:r>
        <w:t>https://mcp.opencaselaw.ch/entscheid/bger_1C_238_2018</w:t>
      </w:r>
    </w:p>
    <w:p>
      <w:r>
        <w:t>FR: TF 1C_238/2018 du 21 juin 2018</w:t>
      </w:r>
    </w:p>
    <w:p>
      <w:r>
        <w:t>IT: TF 1C_238/2018 del 21 giugno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Vorinstanz hat dargelegt, weshalb sie die Rechtshilfevoraussetzungen als gegeben erachtet. Insbesondere hat sie die Voraussetzung der beidseitigen Strafbarkeit geprüft und eine Reihe von Straftatbeständen erwähnt, die das der Beschwerdeführerin im Rechtshilfeersuchen vorgeworfene Verhalten erfüllt. In Frage steht insofern nur die Strafbarkeit nach schweizerischem Recht (und nicht nach dem Recht des ersuchenden Staats). Bei der sogenannten "kleinen" Rechtshilfe, wie sie vorliegend in Frage steht, genügt zudem, wenn ein einziger von mehreren zur Diskussion stehenden Straftatbeständen erfüllt ist (vgl. Urteil 1C_138/2007 vom 17. Juli 2007 E. 2.3.2 mit Hinweisen, in: SJ 2007 I S. 576). Der vorinstanzliche Entscheid, auf dessen Erwägungen verwiesen werden kann, überzeugt im Ergebnis. Wie das Bundesamt in der Vernehmlassung zutreffend darlegt, stellen sich keine Rechtsfragen von grundsätzlicher Bedeutung. Auch sonstwie ist der Fall nicht von aussergewöhnlicher Tragweite. Für das Bundesgericht besteht deshalb kein Anlass, die Sache an die Hand zu nehmen.</w:t>
      </w:r>
    </w:p>
    <w:p>
      <w:r>
        <w:rPr>
          <w:b/>
        </w:rPr>
        <w:t>E. 2</w:t>
      </w:r>
    </w:p>
    <w:p>
      <w:r>
        <w:t>Auf die Beschwerde ist aus den genannten Gründen nicht einzutreten. Damit wird das Gesuch um aufschiebende Wirkung gegenstandslos. Der Beschwerde kommt im vorliegenden Fall ohnehin schon von Gesetzes wegen aufschiebende Wirkung zu ( Art. 103 Abs. 2 lit. c BGG ).</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