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238/2011 vom 17. Oktober 2011</w:t>
      </w:r>
    </w:p>
    <w:p>
      <w:r>
        <w:t>Bundesgericht, 2011-10-17, FR</w:t>
      </w:r>
    </w:p>
    <w:p>
      <w:r>
        <w:rPr>
          <w:b/>
        </w:rPr>
        <w:t xml:space="preserve">Quelle: </w:t>
      </w:r>
      <w:r>
        <w:t>https://mcp.opencaselaw.ch/entscheid/bger_1C_238_2011</w:t>
      </w:r>
    </w:p>
    <w:p>
      <w:r>
        <w:t>FR: TF 1C 238/2011 du 17 octobre 2011</w:t>
      </w:r>
    </w:p>
    <w:p>
      <w:r>
        <w:t>IT: TF 1C 238/2011 del 17 ottobre 2011</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 recourant a pris part à la procédure devant l'autorité précédente. Il est particulièrement touché par l'arrêt attaqué qui autorise la construction du jacuzzi litigieux, sis sur la parcelle voisine, et qui entraînerait, selon lui, certaines restrictions à ses droits de propriété (cf. ATF 133 II 249 consid. 1.3.3 p. 253 s.). Il dispose ainsi de la qualité pour recourir en vertu de l' art. 89 LTF .</w:t>
      </w:r>
    </w:p>
    <w:p>
      <w:r>
        <w:rPr>
          <w:b/>
        </w:rPr>
        <w:t>E. 2.1</w:t>
      </w:r>
    </w:p>
    <w:p>
      <w:r>
        <w:t>Le Tribunal fédéral applique le droit d'office ( art.106 al. 1 LTF ), sous réserve de l' art. 106 al. 2 LTF . Il n'est ainsi lié ni par les arguments soulevés dans le recours ni par la motivation retenue par l'autorité précédente. Toutefois, eu égard à l'exigence de motivation contenue à l' art. 42 al. 1 et 2 LTF (cf. ATF 133 III 350 consid. 1.3 p. 351 s.; 133 IV 119 consid. 6.3 p. 120 s.), il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 Si le recourant se plaint de la violation de droits fondamentaux ou de dispositions de droit cantonal, il doit, comme sous l'empire de l' art. 90 al. 1 let. b OJ , satisfaire au principe d'allégation (Rügeprinzip):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(cf. ATF 134 I 83 consid. 3.2 p. 88; 133 IV 286 consid. 1.4 p. 287). Ainsi, si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Le Tribunal fédéral n'entre pas en matière sur les critiques de nature appellatoire (cf. ATF 130 I 258 consid. 1.3 p. 261 s.).</w:t>
      </w:r>
    </w:p>
    <w:p>
      <w:r>
        <w:rPr>
          <w:b/>
        </w:rPr>
        <w:t>E. 2.2</w:t>
      </w:r>
    </w:p>
    <w:p>
      <w:r>
        <w:t>Par ailleurs, le Tribunal fédéral fonde en principe son raisonnement juridique sur les faits retenus par l'autorité précédente (cf. art. 105 al. 1 LTF ). Le recourant ne peut critiquer les constatations de fait que si ceux-ci ont été établis de façon manifestement inexacte ou en violation du droit ( art. 97 al. 1 LTF ). Dans une partie intitulée "en fait", le recourant présente sa propre version des faits, y apporte des commentaires personnels et ajoute des détails qui ne ressortent pas de l'arrêt attaqué. Il n'expose toutefois pas précisément, dans un grief indépendant, quels sont les éléments qui auraient été, selon lui, constatés de manière manifestement inexacte ou en violation du droit par l'autorité intimée. En outre, il apparaît qu'il critique moins les faits tels qu'ils ont été établis par la Cour de justice que leur appréciation juridique. Il s'agit donc d'une question de droit qui sera, le cas échéant, examinée avec le fond. Dans ces conditions, le Tribunal fédéral est lié par les faits retenus dans l'arrêt attaqué, conformément à l' art. 105 al. 1 LTF .</w:t>
      </w:r>
    </w:p>
    <w:p>
      <w:r>
        <w:rPr>
          <w:b/>
        </w:rPr>
        <w:t>E. 3</w:t>
      </w:r>
    </w:p>
    <w:p>
      <w:r>
        <w:t>Dans un grief d'ordre formel qu'il convient d'examiner en premier lieu, le recourant se plaint d'une violation de son droit d'être entendu. Il reproche à la Cour de justice de n'avoir pas procédé à des enquêtes relatives à la date de la décision de la commission de recours et à la continuation des travaux litigieux ainsi que de n'avoir pas publié son arrêt. Comme l'intéressé n'invoque pas la violation d'une disposition de droit cantonal à l'appui de son grief, celui-ci doit être examiné exclusivement à la lumière des principes déduits directement de l' art. 29 al. 2 Cst. (cf. ATF 126 I 15 consid. 2a p. 16 et les arrêts cités; 125 I 257 consid. 3a p. 259).</w:t>
      </w:r>
    </w:p>
    <w:p>
      <w:r>
        <w:rPr>
          <w:b/>
        </w:rPr>
        <w:t>E. 3.1</w:t>
      </w:r>
    </w:p>
    <w:p>
      <w:r>
        <w:t>Le droit d'être entendu garanti à l' art. 29 al. 2 Cst.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 s.; 127 I 54 consid. 2b p. 56; 126 I 15 consid. 2a/aa p. 16 et les arrêts cités).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Le Tribunal fédéral n'entre dès lors en matière que si cette appréciation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consid. 2.1 ci-dessus).</w:t>
      </w:r>
    </w:p>
    <w:p>
      <w:r>
        <w:rPr>
          <w:b/>
        </w:rPr>
        <w:t>E. 3.2</w:t>
      </w:r>
    </w:p>
    <w:p>
      <w:r>
        <w:t>S'agissant des enquêtes relatives à la continuation du chantier, la Cour de justice a considéré qu'elle disposait d'un dossier complet et que les parties avaient eu l'occasion de s'exprimer par écrit. Elle était à même de statuer et les auditions sollicitées n'étaient pas susceptibles, par une appréciation anticipée des preuves, de modifier la solution du litige. L'ensemble des documents concernant le litige avaient au surplus été produits par l'OAC. Le recourant ne fait pas valoir que le raisonnement précité serait insoutenable ou en contradiction manifeste avec la situation effective. Il se contente de formuler des critiques de nature purement appellatoire, lesquelles ne suffisent pas à démontrer que l'appréciation à laquelle a procédé la Cour de justice serait arbitraire, ce qui n'est au demeurant pas le cas. Les juges cantonaux pouvaient donc, sans violer le droit d'être entendu du recourant, refuser de procéder aux actes sollicités. Le recourant requérait également des enquêtes sur la date de la décision de la commission de recours (21 octobre 2010); il souhaitait en particulier élucider si un délibéré avec les trois juges était intervenu après la réception de ses observations du 15 novembre 2010. La Cour de justice a relevé que le jugement de la commission de recours mentionnait, dans le quatorzième considérant de la partie "en fait", les déterminations du recourant du 15 novembre 2010. Cet élément démontrait que la date figurant sur ce document était erronée. Il s'agissait manifestement d'une erreur de plume que la commission pouvait corriger en tout temps. Au surplus, les conclusions qu'en tirait le recourant n'étaient que des suppositions sans pertinence. Comme ci-dessus, le recourant ne fait pas valoir que le raisonnement précité serait insoutenable ou en contraction manifeste avec la situation effective. Il apparaît de toute façon que l'appréciation à laquelle a procédé la Cour de justice n'est manifestement pas arbitraire. Le grief de l'intéressé intitulé "arbitraire de la décision" (p. 19 de son mémoire de recours) n'a pas de portée propre à cet égard; il se contente en effet d'y exposer l'hypothèse selon laquelle il serait possible que le jugement n'ait pas été rendu à la suite d'une délibération des trois magistrats constituant la commission de recours. Il présente ainsi son interprétation des faits sans toutefois tenter d'établir en quoi la solution retenue par les juges cantonaux serait insoutenable. Il apparaît dès lors que les juges cantonaux ne sont donc pas tombés dans l'arbitraire et n'ont pas violé le droit d'être entendu du recourant en renonçant à instruire sur cette question. Enfin, comme l' art. 29 al. 2 Cst. ne comprend pas un droit à la publication des jugements, c'est en vain que le recourant se plaint ici du fait que la Cour de justice n'aurait pas publié l'arrêt attaqué, comme il l'avait demandé.</w:t>
      </w:r>
    </w:p>
    <w:p>
      <w:r>
        <w:rPr>
          <w:b/>
        </w:rPr>
        <w:t>E. 4</w:t>
      </w:r>
    </w:p>
    <w:p>
      <w:r>
        <w:t>Dans ses conclusions, le recourant demande au Tribunal fédéral d'ordonner la publication de l'arrêt à intervenir, ce à trois reprises dans un "quotidien de son choix" et aux frais des intimés. En vertu de l' art. 27 LTF , le Tribunal fédéral informe le public sur sa jurisprudence (al. 1). Il règle les principes de l'information dans un règlement (al. 3). Alors que les arrêts de principe sont publiés au recueil officiel et que tous les arrêts finaux et partiels sont publiés sur internet (art. 58 et 59 al. 1 let. a et b du règlement du 20 novembre 2006 du Tribunal fédéral [RTF; RS 173.110.131]), dans le but de garantir le principe d'une jurisprudence transparente (cf. ATF 133 I 106 consid. 8.2 p. 108), il n'existe toutefois pas de droit pour les parties à ce qu'un arrêt soit publié au recueil officiel ou encore moins dans un "quotidien de leur choix". Dans ces conditions, il n'y a pas lieu de donner suite à la conclusion susmentionnée du recourant.</w:t>
      </w:r>
    </w:p>
    <w:p>
      <w:r>
        <w:rPr>
          <w:b/>
        </w:rPr>
        <w:t>E. 5</w:t>
      </w:r>
    </w:p>
    <w:p>
      <w:r>
        <w:t>Le recourant se plaint d'une "violation de l'égalité". Il invoque les art. 8 et 35 Cst.</w:t>
      </w:r>
    </w:p>
    <w:p>
      <w:r>
        <w:rPr>
          <w:b/>
        </w:rPr>
        <w:t>E. 5.1</w:t>
      </w:r>
    </w:p>
    <w:p>
      <w:r>
        <w:t>Une décision viole le droit à l'égalité de traitement garanti à l' art. 8 Cst.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et les arrêts cités). L' art. 35 al. 1 Cst. prévoit que les droits fondamentaux doivent être réalisés dans l'ensemble de l'ordre juridique.</w:t>
      </w:r>
    </w:p>
    <w:p>
      <w:r>
        <w:rPr>
          <w:b/>
        </w:rPr>
        <w:t>E. 5.2</w:t>
      </w:r>
    </w:p>
    <w:p>
      <w:r>
        <w:t>En l'espèce, le recourant soutient en substance que le principe de l'égalité devant la loi a été violé, l'Etat ayant laissé édifier les constructions litigieuses uniquement au vu du statut politique de l'intimé et de sa fonction de directeur d'un établissement public. Il ne fait toutefois pas valoir, et démontre encore moins, que d'autres administrés auraient bénéficié, dans des cas similaires, de traitements moins favorables. Par ailleurs, ses considérations relatives au montant de l'amende infligée aux intimés n'ont pas à être prises en considération car elles sortent du cadre du litige. Dans ces conditions, la motivation de son grief ne répond manifestement pas aux exigences de l' art. 106 al. 2 LTF (cf. consid. 2.1 ci-dessus), ce qui le rend irrecevable.</w:t>
      </w:r>
    </w:p>
    <w:p>
      <w:r>
        <w:rPr>
          <w:b/>
        </w:rPr>
        <w:t>E. 6</w:t>
      </w:r>
    </w:p>
    <w:p>
      <w:r>
        <w:t>Le recourant estime que les juges cantonaux ont fait une mauvaise application de l'art. 71 de la loi cantonale du 14 avril 1988 sur les constructions et les installations diverses (ci-après: la LCI). Cette disposition a la teneur suivante: 1 Lorsque les distances aux limites de propriétés et les distances entre constructions ne sont assurées que par un accord entre propriétaires voisins, sans modification des limites de leurs parcelles, cet accord doit faire l'objet d'une servitude inscrite au registre foncier. 2 L'autorisation de construire est subordonnée à la remise d'un extrait du registre foncier attestant que cette inscription a été opérée. 3 Le règlement d'application fixe les termes dans lesquels la servitude doit être établie. La Cour de justice a rappelé que, d'après la jurisprudence concernant la qualité pour recourir des voisins, seuls ceux dont les intérêts sont lésés de façon directe et spéciale possèdent l'intérêt particulier requis. En l'occurrence, dès lors que la question des servitudes de distance concernait exclusivement les époux D.________, le recourant n'était pas lésé directement et spécialement. Il résulte des faits retenus dans l'arrêt attaqué et non contestés par le recourant (cf. consid. 2.2 ci-dessus), que le jacuzzi litigieux a été édifié à la limite de la parcelle des époux D.________, à savoir à l'opposé de celle du recourant. Celui-ci n'explique pas pourquoi il serait dès lors concerné par la prétendue mauvaise application de l'art. 71 LCI, ni en quoi la motivation précitée de la Cour de justice serait arbitraire, ce qui n'apparaît au demeurant pas être le cas. Partant, son grief doit être écarté.</w:t>
      </w:r>
    </w:p>
    <w:p>
      <w:r>
        <w:rPr>
          <w:b/>
        </w:rPr>
        <w:t>E. 7</w:t>
      </w:r>
    </w:p>
    <w:p>
      <w:r>
        <w:t>Le recourant invoque la garantie de la propriété pour se plaindre qu'il n'existe aucune servitude grevant sa parcelle qui pourrait autoriser l'évacuation des eaux à travers son bien-fonds. Il devra par ailleurs supporter des nuisances supplémentaires du fait de la construction litigieuse. Il est douteux que la motivation du recours sur ce point réponde aux réquisits de l' art. 106 al. 2 LTF . Quoi qu'il en soit, le grief est mal fondé et doit être rejeté. S'agissant de la servitude, la Cour de justice a relevé à bon droit que le grief ressortait du droit civil et échappait de ce fait à sa cognition. Le recourant ne remet pas en cause cette répartition des compétences. Il n'y a donc pas lieu d'entrer en matière sur les considérations toutes générales qu'il développe à propos de la procédure suivie par le DCTC pour délivrer les autorisations de construire. Quant aux "nuisances nouvelles et effectives" qu'il aurait à subir, les juges cantonaux ont considéré que rien dans le dossier n'indiquait que l'exploitation du jacuzzi serait la cause d'atteintes nuisibles ou incommodantes. Le recourant ne discute pas ce point et ne prétend pas que l'autorisation litigieuse consacrerait une violation de la législation sur les constructions ou en matière de protection de l'environnement. Il allègue dès lors en vain une restriction à son droit de propriété.</w:t>
      </w:r>
    </w:p>
    <w:p>
      <w:r>
        <w:rPr>
          <w:b/>
        </w:rPr>
        <w:t>E. 8</w:t>
      </w:r>
    </w:p>
    <w:p>
      <w:r>
        <w:t>Dans un dernier grief, le recourant soutient que le maintien de la construction illicite serait contraire à la protection comme à la "renaturation" des cours d'eaux, objectif central de la loi fédérale du 24 janvier 1991 sur la protection des eaux (RS 814.20; LEaux). Les juges cantonaux ont annulé l'autorisation de construire litigieuse en ce qu'elle autorisait l'édification d'un mur de soutènement à moins de 30 mètres de la rivière "La Seymaz", considérant que cette construction ne respectait pas les distances prévues par la LEaux. Ils ont au demeurant relevé qu'il appartiendra à l'autorité intimée, soit au DCTI, d'ordonner les mesures nécessaires en ce qui concerne la partie du mur dont l'édification n'est pas autorisable, ainsi que les éventuelles autres constructions ou installations qui auraient été édifiées sans autorisation. Il apparaît dès lors que le recourant a obtenu gain de cause sur ce point. Ses griefs relatifs à l'ordre de démolition devront être soulevés contre la décision prise par le DCTI à ce sujet. Le recours doit donc également être rejeté sous cet angle.</w:t>
      </w:r>
    </w:p>
    <w:p>
      <w:r>
        <w:rPr>
          <w:b/>
        </w:rPr>
        <w:t>E. 9</w:t>
      </w:r>
    </w:p>
    <w:p>
      <w:r>
        <w:t>Il résulte de ce qui précède que le recours, entièrement mal fondé, doit être rejeté dans la mesure où il est recevable, aux frais du recourant qui succombe ( art. 65 et 66 al. 1 LTF ). En vertu de l' art. 68 al. 2 LTF , celui-ci versera en outre une indemnité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