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1C_237/2012 vom 31. August 2012</w:t>
      </w:r>
    </w:p>
    <w:p>
      <w:r>
        <w:t>Bundesgericht, 2012-08-31, FR</w:t>
      </w:r>
    </w:p>
    <w:p>
      <w:r>
        <w:rPr>
          <w:b/>
        </w:rPr>
        <w:t xml:space="preserve">Quelle: </w:t>
      </w:r>
      <w:r>
        <w:t>https://mcp.opencaselaw.ch/entscheid/bger_1C_237_2012</w:t>
      </w:r>
    </w:p>
    <w:p>
      <w:r>
        <w:t>FR: TF 1C_237/2012 du 31 août 2012</w:t>
      </w:r>
    </w:p>
    <w:p>
      <w:r>
        <w:t>IT: TF 1C_237/2012 del 31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Dirigé contre une décision finale ( art. 90 LTF ) prise en dernière instance cantonale (art. 86 al. 1 lit. d LTF) dans le domaine du droit public de l'aménagement du territoire et des constructions (art. 82 lit. a LTF), le recours est en principe recevable comme recours en matière de droit public selon les art. 82 ss LTF , aucune des exceptions prévues à l' art. 83 LTF n'étant réalisée.</w:t>
      </w:r>
    </w:p>
    <w:p>
      <w:r>
        <w:rPr>
          <w:b/>
        </w:rPr>
        <w:t>E. 1.1</w:t>
      </w:r>
    </w:p>
    <w:p>
      <w:r>
        <w:t>La recourante a pris part à la procédure de recours devant le Tribunal cantonal. En tant que destinataire de la décision de remise en état de l'immeuble dont elle est propriétaire, elle a qualité pour recourir au sens de l' art. 89 al. 1 LTF .</w:t>
      </w:r>
    </w:p>
    <w:p>
      <w:r>
        <w:rPr>
          <w:b/>
        </w:rPr>
        <w:t>E. 1.2</w:t>
      </w:r>
    </w:p>
    <w:p>
      <w:r>
        <w:t>Selon l' art. 42 al. 1 LTF , le mémoire de recours doit contenir notamment des conclusions, lesquelles doivent être déterminées avec précision. Tel n'est pas le cas en l'occurrence, la recourante concluant à la réforme de l'arrêt cantonal sans préciser en quoi celui-ci devrait être modifié. La question de la recevabilité des conclusions du recours peut toutefois demeurer indécise, l'issue de la cause apparaissant par ailleurs évidente.</w:t>
      </w:r>
    </w:p>
    <w:p>
      <w:r>
        <w:rPr>
          <w:b/>
        </w:rPr>
        <w:t>E. 2</w:t>
      </w:r>
    </w:p>
    <w:p>
      <w:r>
        <w:t>Se plaignant d'arbitraire, la recourante estime que l'utilisation des locaux à des fins de prostitution ne constituerait pas un changement d'affectation soumis à autorisation, dans la mesure où l'activité se déroule en zone d'habitation et nécessiterait un appartement avec un lit, ce qui ne serait pas le cas pour des bureaux.</w:t>
      </w:r>
    </w:p>
    <w:p>
      <w:r>
        <w:t>Comme le relève l'arrêt cantonal - auquel il peut être renvoyé en application de l' art. 109 al. 3 LTF -, l'ensemble des studios est affecté à la prostitution, soit une activité professionnelle exercée à but lucratif et bénéficiant de la liberté économique ( ATF 101 Ia 473 consid. 2b p. 476). L'exercice régulier d'une telle activité entre clairement en contradiction avec la notion d'habitation (arrêt 1C_83/2012 du 18 juillet 2012; 1C_526/2010 du 7 janvier 2011). Il est indifférent, de ce point de vue, que les hôtesses vivent également sur place. L'argument, qui frise la témérité, doit être écarté.</w:t>
      </w:r>
    </w:p>
    <w:p>
      <w:r>
        <w:rPr>
          <w:b/>
        </w:rPr>
        <w:t>E. 3</w:t>
      </w:r>
    </w:p>
    <w:p>
      <w:r>
        <w:t>Le grief tiré du principe d'égalité de traitement n'est pas mieux fondé. La recourante se contente de relever qu'il existe de nombreux salons de massage à Martigny et que la commune n'aurait jamais exigé de mise en conformité. Selon l'arrêt attaqué, la commune a agi à l'encontre de tous les propriétaires se trouvant dans la même situation que la recourante; il s'agit d'une constatation de fait qui lie le Tribunal fédéral ( art. 105 al. 1 LTF ), la recourante ne faisant pas valoir à cet égard qu'il y aurait inexactitude manifeste au sens de l' art. 105 al. 2 LTF . La recourante produit quelques annonces relatives à de la prostitution en ville de Martigny, sans toutefois démontrer que cette activité se tiendrait dans des immeubles d'habitation. La commune elle-même a indiqué qu'elle ne faisait preuve d'aucune tolérance à cet égard. La recourante ne saurait, dans ces conditions, bénéficier d'aucune égalité dans l'illégalité (cf. ATF 127 II 113 consid. 9b p. 121 et les références citées).</w:t>
      </w:r>
    </w:p>
    <w:p>
      <w:r>
        <w:rPr>
          <w:b/>
        </w:rPr>
        <w:t>E. 4</w:t>
      </w:r>
    </w:p>
    <w:p>
      <w:r>
        <w:t>Manifestement mal fondé dans la mesure où il est recevable, le recours doit être rejeté,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