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1C_237/2011 vom 6. Juni 2012</w:t>
      </w:r>
    </w:p>
    <w:p>
      <w:r>
        <w:t>Bundesgericht, 2012-06-06, DE</w:t>
      </w:r>
    </w:p>
    <w:p>
      <w:r>
        <w:rPr>
          <w:b/>
        </w:rPr>
        <w:t xml:space="preserve">Quelle: </w:t>
      </w:r>
      <w:r>
        <w:t>https://mcp.opencaselaw.ch/entscheid/bger_1C_237_2011</w:t>
      </w:r>
    </w:p>
    <w:p>
      <w:r>
        <w:t>FR: TF 1C_237/2011 du 6 juin 2012</w:t>
      </w:r>
    </w:p>
    <w:p>
      <w:r>
        <w:t>IT: TF 1C_237/2011 del 6 giugno 2012</w:t>
      </w:r>
    </w:p>
    <w:p>
      <w:pPr>
        <w:pStyle w:val="Heading2"/>
      </w:pPr>
      <w:r>
        <w:t>Erwägungen</w:t>
      </w:r>
    </w:p>
    <w:p>
      <w:r>
        <w:rPr>
          <w:b/>
        </w:rPr>
        <w:t>E. 1.1</w:t>
      </w:r>
    </w:p>
    <w:p>
      <w:r>
        <w:t>Angefochten ist ein letztinstanzlicher kantonaler Endentscheid über die Erteilung bzw. Verweigerung einer Baubewilligung. Dagegen steht die Beschwerde in öffentlich-rechtlichen Angelegenheiten nach Art. 82 ff. BGG an das Bundesgericht offen.</w:t>
      </w:r>
    </w:p>
    <w:p>
      <w:r>
        <w:rPr>
          <w:b/>
        </w:rPr>
        <w:t>E. 1.2</w:t>
      </w:r>
    </w:p>
    <w:p>
      <w:r>
        <w:t>Die Beschwerdeführerin ist als Baugesuchstellerin und direkte Adressatin des angefochtenen Entscheids, mit dem ihr die ersuchte Baubewilligung verweigert wurde, grundsätzlich zur Beschwerde legitimiert ( Art. 89 Abs. 1 BGG ).</w:t>
      </w:r>
    </w:p>
    <w:p>
      <w:r>
        <w:rPr>
          <w:b/>
        </w:rPr>
        <w:t>E. 1.2.1</w:t>
      </w:r>
    </w:p>
    <w:p>
      <w:r>
        <w:t>Die Beschwerdegegner wenden dagegen freilich ein, die Schwestergesellschaft der Beschwerdeführerin habe inzwischen ebenfalls ein Bewilligungsgesuch für das gleiche Grundstück eingereicht, mit dem die bisherige Nutzung nachträglich legalisiert werden solle. Die Beschwerdegegnerinnen 1-3 schliessen daraus, die Beschwerdeführerin sei nicht mehr zur Beschwerde legitimiert, weil sie an ihrem ersten, hier strittigen Gesuch nicht mehr interessiert sei. Der Beschwerdegegner 4 leitet daraus die eher inhaltliche Folgerung ab, dem ersten Baugesuch könne aus diesem Grund nicht stattgegeben werden, stellt aber doch den Verfahrensantrag, das Bundesgericht solle die Beschwerdeführerin anfragen, welches Bauprojekt sie nun eigentlich umsetzen wolle.</w:t>
      </w:r>
    </w:p>
    <w:p>
      <w:r>
        <w:rPr>
          <w:b/>
        </w:rPr>
        <w:t>E. 1.2.2</w:t>
      </w:r>
    </w:p>
    <w:p>
      <w:r>
        <w:t>In materiell-rechtlicher Hinsicht fragt es sich, ob es sich beim Einwand der Beschwerdegegner nicht um ein unzulässiges Novum gemäss Art. 99 BGG handelt. Eintretensfragen sind demgegenüber von Amtes wegen zu prüfen (vgl. Art. 29 Abs. 1 BGG ). Wie es sich damit verhält, kann hier aber offen bleiben. Denn so oder so obliegt es den zuständigen Behörden im zweiten Verfahren, die rechtlichen Folgerungen aus dem Umstand zu ziehen, dass bereits ein Baugesuch für dieselbe Parzelle hängig ist, bzw. zu prüfen, ob sich die beiden Projekte inhaltlich überschneiden und gegenseitig ausschliessen. Im hier strittigen Verfahren des ersten Baugesuchs spielt die Frage der Zulässigkeit eines zweiten Bauprojektes keine massgebliche Rolle. Dass das Grundstück allenfalls ohne die an sich erforderliche Bewilligung bereits genutzt wird, kann zwar unter Umständen mit gewissen rechtlichen Konsequenzen namentlich baupolizeilicher Art, wie sie inzwischen ja auch verfügt wurden, verbunden sein. Solche bilden hier aber nicht Verfahrensgegenstand. Auf die Bedeutung des zweiten Baugesuchs ist mithin unabhängig von der Frage, wieweit es der Beschwerdeführerin anzurechnen ist, nicht weiter einzugehen.</w:t>
      </w:r>
    </w:p>
    <w:p>
      <w:r>
        <w:rPr>
          <w:b/>
        </w:rPr>
        <w:t>E. 1.2.3</w:t>
      </w:r>
    </w:p>
    <w:p>
      <w:r>
        <w:t>Analoges gilt für die inzwischen erlassene Planungszone. Auch hierbei handelt es sich grundsätzlich um eine neue Tatsache. Abgesehen davon hat die Planungszone jedoch lediglich eine Gültigkeitsdauer von zwei Jahren. Überdies ist ihre rechtliche Bedeutung für das hier fragliche, vor ihrem Erlass eingereichte Baugesuch offen bzw. wäre allenfalls zu prüfen, wenn das Verfahren fortzusetzen wäre. Der Beschwerdeführerin kann das schutzwürdige Interesse an einem Entscheid über die fragliche Bewilligung daher schon aus diesem Grunde nicht abgesprochen werden.</w:t>
      </w:r>
    </w:p>
    <w:p>
      <w:r>
        <w:rPr>
          <w:b/>
        </w:rPr>
        <w:t>E. 1.2.4</w:t>
      </w:r>
    </w:p>
    <w:p>
      <w:r>
        <w:t>Die Beschwerdeführerin ist demnach zur Beschwerde legitimiert.</w:t>
      </w:r>
    </w:p>
    <w:p>
      <w:r>
        <w:rPr>
          <w:b/>
        </w:rPr>
        <w:t>E. 1.3</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dazu Art. 106 Abs. 2 BGG sowie BGE 133 II 249 E. 1.4.2 S. 254 mit Hinweisen) von Amtes wegen an ( Art. 106 Abs. 1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rPr>
          <w:b/>
        </w:rPr>
        <w:t>E. 1.4</w:t>
      </w:r>
    </w:p>
    <w:p>
      <w:r>
        <w:t>Nach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w:t>
      </w:r>
    </w:p>
    <w:p>
      <w:r>
        <w:rPr>
          <w:b/>
        </w:rPr>
        <w:t>E. 2.1</w:t>
      </w:r>
    </w:p>
    <w:p>
      <w:r>
        <w:t>Nach Art. 25 Abs. 1 des Bundesgesetzes vom 7. Oktober 1983 über den Umweltschutz (Umweltschutzgesetz, USG; SR 814.01) dürfen ortsfeste Anlagen nur errichtet werden, wenn die dadurch erzeugten Lärmimmissionen die Planungswerte in der Umgebung nicht überschreiten. Gemäss Art. 11 USG wird unter anderem Lärm durch Massnahmen an der Quelle begrenzt (Abs. 1); unabhängig von der bestehenden Umweltbelastung sind sodann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Nach Art. 25 Abs. 2 USG können Erleichterungen nur dann gewährt werden, wenn ein überwiegendes öffentliches Interesse an der Anlage besteht und die Einhaltung der Planungswerte zu einer unverhältnismässigen Belastung für das Projekt führen würde und wenn die Immissionsgrenzwerte nicht überschritten werden.</w:t>
      </w:r>
    </w:p>
    <w:p>
      <w:r>
        <w:rPr>
          <w:b/>
        </w:rPr>
        <w:t>E. 2.2</w:t>
      </w:r>
    </w:p>
    <w:p>
      <w:r>
        <w:t>Lärmemissionen neuer ortsfester Anlagen müssen nach Art. 7 Abs. 1 der Lärmschutz-Verordnung (LSV; SR 814.41) soweit begrenzt werden, als dies technisch und betrieblich möglich und wirtschaftlich tragbar ist (lit. a), und die von der Anlage allein erzeugten Lärmimmissionen dürfen die Planungswerte nicht überschreiten (lit. b). Für den umstrittenen Bauschuttaufbereitungsplatz in einer Zone mit Empfindlichkeitsstufe IV nach Art. 43 Abs. 1 lit. d LSV gelten die Belastungsgrenzwerte für Industrie- und Gewerbelärm gemäss Anhang 6 zur LSV (vgl. Art. 40 Abs. 1 i.V.m. Anhang 6 Ziff. 1 Abs. 1 LSV). Dabei ist hier auf die voraussichtliche Lärmbelastung am Tag abzustellen, da die geplante Anlage in der Nacht nicht betrieben werden soll (vgl. Anhang 6 Ziff. 2 und 31 Abs. 1 LSV). Nach Anhang 6 Ziff. 2 LSV betragen der massgebliche Planungswert Lr 65 dB(A), der Immissionsgrenzwert Lr 70 dB(A) und der Alarmwert Lr 75 dB(A).</w:t>
      </w:r>
    </w:p>
    <w:p>
      <w:r>
        <w:rPr>
          <w:b/>
        </w:rPr>
        <w:t>E. 3.1</w:t>
      </w:r>
    </w:p>
    <w:p>
      <w:r>
        <w:t>Gemäss dem Verwaltungsgericht kennzeichnet sich die geplante Anlage durch die Lärmeinwirkungen von drei unterschiedlich lauten Maschinen mit je beschränkter Betriebsdauer, die teilweise einzeln, teilweise aber auch gemeinsam zum Einsatz gelangen. Dabei erzeuge der mobile Brecher mit einer Schallleistung von mindestens 112 dB(A) deutlich stärker wahrnehmbaren Lärm als die beiden anderen Maschinen von jeweils 105 dB(A). Für die Ermittlung des Beurteilungspegels Lr gemäss Anhang 6 Ziff. 31 Abs. 1 LSV erachtete das Verwaltungsgericht als massgebliche Lärmphasen im Sinne von Anhang 6 Ziff. 31 Abs. 3 LSV diejenige Zeit, in denen der mobile Brecher als deutlich lauteste Maschine betrieben wird. Da dieser nicht über das ganze Jahr, sondern lediglich über 285 Betriebsstunden bzw. umgerechnet an 36 Tagen pro Jahr eingesetzt werden soll, stellte das Verwaltungsgericht unter Verweis auf Anhang 6 Ziff. 32 LSV und das Urteil des Bundesgerichts 1A.39/2004 vom 11. Oktober 2004 E. 3.4 (in URP 2005 S. 40) nicht auf einen jahresdurchschnittlichen Mittelungspegel, sondern auf die durchschnittliche Lärmbelastung während der als massgeblich errechneten beschränkten Anzahl von 36 Tagen ab. Damit ergab sich für das Verwaltungsgericht während der Betriebszeit des mobilen Brechers ein Beurteilungspegel Lr von 71 dB(A), womit sowohl der anwendbare Planungswert von 65 dB(A) als auch der Immissionsgrenzwert von 70 dB(A) überschritten würden. Eine Privilegierung durch ausnahmsweise Zulassung einer zu grossen Lärmbelastung während kurzer Zeit erachtete das Verwaltungsgericht als für höchstens rund 18 Tage zulässig. Die im vorliegenden Fall massgeblichen 36 Tage beurteilte es hingegen als deutlich zu lange.</w:t>
      </w:r>
    </w:p>
    <w:p>
      <w:r>
        <w:rPr>
          <w:b/>
        </w:rPr>
        <w:t>E. 3.2</w:t>
      </w:r>
    </w:p>
    <w:p>
      <w:r>
        <w:t>Die Beschwerdeführerin wendet dagegen ein, der mobile Brecher sei Teil der gesamten Anlage, weshalb der erzeugte Lärm auf das ganze Jahr bzw. für eine Betriebsdauer von 200 Tagen zu berechnen sei. Für die Betroffenen mache es einen wesentlichen Unterschied, ob sie eine Lärmbelastung nur für bestimmte Phasen oder das ganze Jahr über erdulden müssten; besonders lärmige Aktivitäten könnten so auch auf weniger Zeit beschränkt und der Gewerbe- oder Industriebetrieb für die Nachbarn verträglicher ausgestaltet werden. Überdies sei es willkürlich, die Zahl der festgelegten Jahresstunden des Brechers einfach durch acht zu teilen und damit auf 36 Tage festzusetzen. Es sei nämlich unrealistisch, dass der Brecher an diesen Tagen ununterbrochen während jeweils acht Stunden in Betrieb sei. Schliesslich erachtet die Beschwerdeführerin die von der Bewilligungsbehörde berücksichtigte und vom Verwaltungsgericht nicht in Frage gestellte Dämmwirkung der an- und abschwellenden Materialhaufen als offensichtlich falsch. Sie sei mit 5 dB(A) berücksichtigt worden, könne aber auf 15 dB(A) veranschlagt werden.</w:t>
      </w:r>
    </w:p>
    <w:p>
      <w:r>
        <w:rPr>
          <w:b/>
        </w:rPr>
        <w:t>E. 4.1</w:t>
      </w:r>
    </w:p>
    <w:p>
      <w:r>
        <w:t>Unter den Verfahrensbeteiligten ist unter anderem die Tragweite der Richtlinien des Bundesamtes zur Vereinfachung und Vereinheitlichung des Vollzugs des Umweltschutzgesetzes und der Lärmschutzverordnung strittig. Als verwaltungsinterne Weisungen binden diese die Gerichte freilich nicht; ihre Anwendung im Einzelfall im Interesse einer einheitlichen und rechtsgleichen Praxis ist immerhin nicht zu beanstanden, soweit dabei das übergeordnete Recht eingehalten wird (vgl. BGE 119 Ib 33 E. 3c S. 41 f.). Die Richtlinien sind allerdings für die hier zu beurteilende Sachlage nicht eindeutig und helfen insofern nicht weiter. So oder so kommt es aber entscheidend auf die Auslegung der anwendbaren Gesetzesbestimmungen an.</w:t>
      </w:r>
    </w:p>
    <w:p>
      <w:r>
        <w:rPr>
          <w:b/>
        </w:rPr>
        <w:t>E. 4.2</w:t>
      </w:r>
    </w:p>
    <w:p>
      <w:r>
        <w:t>Gemäss Anhang 6 Ziff. 32 LSV wird die durchschnittliche tägliche Dauer (ti) der Lärmphase i aus ihrer jährlichen Dauer (Ti) und der Anzahl der jährlichen Betriebstage (B) nach der Formel ti = Ti/B berechnet, wobei für neue Anlagen auf eine Prognose über den zu erwartenden Betrieb abzustellen ist. Für die Auslegung der Bestimmungen des Umweltschutzgesetzes und von dessen Ausführungserlassen kommt es nicht allein auf den Wortlaut an, sondern sie hat sich auch an den Hauptzielen des Gesetzes auszurichten. Dieses bezweckt vorab, Menschen gegen schädliche oder lästige Einwirkungen zu schützen und solche Einwirkungen im Sinne der Vorsorge frühzeitig zu begrenzen (vgl. Art. 1 USG ). Einem solchen Schutz dienen die Belastungsgrenzwerte. Das gilt es insbesondere bei der Umrechnung von Lärm bzw. der Anrechnung von die Grenzwerte überschreitenden Lärmspitzen auf Zeiten ohne oder mit weniger Lärmbelastung zu beachten. Sodann würde es der Systematik des Gesetzes widersprechen, das private oder öffentliche Interesse an der Errichtung bzw. am wirtschaftlichen Betrieb einer neuen Anlage bereits im Rahmen von Art. 25 Abs. 1 USG zu berücksichtigen (GRIFFEL/RAUSCH, Kommentar USG, Ergänzungsband, 2011, N. 14 zu Art. 25).</w:t>
      </w:r>
    </w:p>
    <w:p>
      <w:r>
        <w:rPr>
          <w:b/>
        </w:rPr>
        <w:t>E. 4.3</w:t>
      </w:r>
    </w:p>
    <w:p>
      <w:r>
        <w:t>Die Beschwerdeführerin sowie das Bundesamt für Umwelt sehen den mobilen Brecher als Teil der Gesamtanlage und verteilen den nur zu gewissen Zeiten anfallenden Lärm des Brechers unter Verwendung der verordnungsrechtlichen Berechnungsformel auf das ganze Jahr. Bei der zeitlichen Umrechnung des Lärms handelt es sich jedoch lediglich um eine theoretische Lärmverteilung, die der Realität nicht entspricht, wird die Lärmerzeugung und damit -belastung als solche in den Spitzenzeiten doch nicht reduziert. Es ist daher anhand der Umstände des Einzelfalles zu prüfen, wie die verordnungsrechtliche Berechnungsformel anzuwenden ist bzw. ob es sich rechtfertigt, dafür auf die effektive Betriebsdauer der Lärmquelle selbst oder des Gesamtbetriebs abzustellen.</w:t>
      </w:r>
    </w:p>
    <w:p>
      <w:r>
        <w:rPr>
          <w:b/>
        </w:rPr>
        <w:t>E. 4.4</w:t>
      </w:r>
    </w:p>
    <w:p>
      <w:r>
        <w:t>Eine Umrechnung des Lärms, die auch als "Lärmverdünnung" bezeichnet wird, hat das Bundesgericht dem Prinzip nach namentlich bei der Beurteilung von Lärmspitzen an Verkehrsachsen geschützt (vgl. etwa BGE 126 II 522 E. 41 und 44-46 S. 573 ff.; Urteil 1C_344/2011 vom 15. März 2012 E. 5.3). Das rechtfertigt sich schon mit Blick auf die Sonderbestimmung von Art. 25 Abs. 3 USG für solche Anlagen. Den dabei beurteilten Sachverhalten ist im Übrigen weitgehend gemein, dass es einen dauernden oder regelmässigen Grundgeräuschpegel gibt und dass die Lärmspitzen praktisch täglich und dabei mit einiger Regelmässigkeit auftreten. Beides bringt eine gewisse Gewöhnungswirkung mit sich. Ein solcher Zusammenhang liegt beim Projekt der Beschwerdeführerin mit seiner im Vergleich zu den meisten Verkehrsanlagen geografisch begrenzten Ausdehnung und auch in zeitlicher Hinsicht deutlich anderen Charakteristik indessen nicht vor. Wie das Verwaltungsgericht zu Recht darlegt, ist die vorliegende Sachlage eher vergleichbar mit Fällen, in denen eine Lärmbelastung von vornherein nur während einer beschränkten Dauer anfällt, wie das etwa bei zeitlich begrenzten Kultur- oder Sportanlässen zutrifft. In solchen Konstellationen erachtet das Bundesgericht unter Verzicht auf eine Umrechnung auf das ganze Jahr die durchschnittliche Lärmbelastung während der eigentlichen Anlassdauer als wesentlich (vgl. Urteil 1A.39/2004 vom 11. Oktober 2004 E. 3.4 in URP 2005 S. 40).</w:t>
      </w:r>
    </w:p>
    <w:p>
      <w:r>
        <w:rPr>
          <w:b/>
        </w:rPr>
        <w:t>E. 4.5</w:t>
      </w:r>
    </w:p>
    <w:p>
      <w:r>
        <w:t>Das von der Beschwerdeführerin verfolgte Projekt beruht auf ihrem eigenen unternehmerischen Entscheid, die Bauschuttaufbereitung im Freien durchzuführen. Dafür hat sie die umweltschutzrechtlichen Konsequenzen in Kauf zu nehmen und zu tragen. Die hier fraglichen Maschinen lassen sich dabei gar nicht so einsetzen, dass eine mit Verkehrsachsen vergleichbare Situation entstünde. Es ist daher nicht zulässig, den Lärm, den die beiden anderen Maschinen erzeugen, als Grundpegel und die Emissionen des mobilen Brechers lediglich als einzelne Lärmspitzen zu werten und damit rechnerisch auf das ganze Jahr umzuverteilen. Das würde nämlich bedeuten, dass gerade die Lärmbelastung, die sich durch den Einsatz mehrerer Maschinen ergibt, die allenfalls unzulässigen Lärmspitzen des mobilen Brechers zu rechtfertigen vermöchte. Die Beschwerdeführerin würde dadurch besser gestellt als wenn sie nur den Brecher einsetzte. Dies erscheint nicht nur unlogisch, sondern ist auch nicht mit dem Schutzzweck des Umweltschutzgesetzes vereinbar. Der angefochtene Entscheid, der die Lärmbelastung einzig auf die vorgesehenen Betriebstage des mobilen Brechers und nicht auf die Dauer des Gesamtbetriebs verteilt, folgt insofern grundsätzlich einer Gesetzesinterpretation, die sich am gesetzlichen Schutz- und Vorsorgezweck ausrichtet, was nicht zu beanstanden ist.</w:t>
      </w:r>
    </w:p>
    <w:p>
      <w:r>
        <w:rPr>
          <w:b/>
        </w:rPr>
        <w:t>E. 4.6</w:t>
      </w:r>
    </w:p>
    <w:p>
      <w:r>
        <w:t>Das Verwaltungsgericht hat aufgrund der vorgesehenen 285 Betriebsstunden errechnet, der mobile Brecher werde während 36 Tagen pro Jahr eingesetzt (285 : 8 = 35,6). Es kann hier offen bleiben, ob es sich dabei um eine tatsächliche Feststellung oder eine rechtliche Würdigung - mit den entsprechenden Auswirkungen auf die Kognition des Bundesgerichts - handelt. So oder so erscheint es arbeitstechnisch wenig wahrscheinlich, dass der Brecher an allen Einsatztagen ununterbrochen genutzt werden kann. Schon aus wirtschaftlichen Gründen wird die Beschwerdeführerin, die den Brecher ja zumieten will, allerdings bemüht sein, diesen möglichst optimal zu nutzen und die vorgesehenen 285 Betriebsstunden auf so wenige Einsatztage wie möglich zu verlegen. Da eine Umverteilung des durch den Brecher verursachten Lärms auf das ganze Jahr bzw. auf 200 Arbeitstage aus rechtlichen Gründen entfällt, kommt es in diesem Zusammenhang nicht wesentlich darauf an, ob er nun an 36 Tagen oder ein paar Tagen mehr zum Einsatz gelangt. Die Beschwerdeführerin kann daher nichts zu ihren Gunsten aus der behaupteten fehlerhaften Berechnung der 36 Arbeitstage ableiten.</w:t>
      </w:r>
    </w:p>
    <w:p>
      <w:r>
        <w:rPr>
          <w:b/>
        </w:rPr>
        <w:t>E. 4.7</w:t>
      </w:r>
    </w:p>
    <w:p>
      <w:r>
        <w:t>Abstellend auf den während der effektiven Betriebszeit des mobilen Brechers erzeugten Lärm ging das Verwaltungsgericht von einem Beurteilungspegel Lr von 71 dB(A) aus, wofür es sich auf die im Verfahren vor den unteren Instanzen erstellten Fachberichte stützen konnte. Die Beschwerdeführerin wendet dagegen ein, die Vorinstanz habe dadurch den Sachverhalt willkürlich erhoben, dass sie gestützt auf die Baueingabe und den Umweltverträglichkeitsbericht die Dämmwirkung der Materialhaufen lediglich mit 5 dB(A) und damit deutlich zu tief angerechnet habe. Richtigerweise müsse diese mit mindestens 15 dB(A) berücksichtigt werden, da die von der Bau-, Verkehrs- und Energiedirektion des Kantons Bern erteilte Bewilligung mit der Auflage verknüpft worden sei, die Materialhaufen während den kritischen Phasen stets auf voller Höhe zu belassen. Dabei handelt es sich indessen nicht um eine offensichtlich unrichtige Sachverhaltsfeststellung. Mit gutem Grund konnte das Verwaltungsgericht, obwohl es dies nicht vertieft ausgeführt hat, davon ausgehen, dass es kaum möglich sein werde, die Materialhaufen stets auf voller Höhe mit uneingeschränkter Dämmwirkung zu halten, da der gelagerte Bauschutt gerade zwecks Verarbeitung benötigt wird und die in der Breite mit zunehmender Höhe naturgemäss enger werdenden Materialhaufen kaum rundum eine maximale Dämmwirkung zu entfalten vermöchten. Ganz unberücksichtigt blieb der Schutzeffekt jedoch nicht, brachte die Vorinstanz doch einen solchen von immerhin nicht unbedeutenden 5 dB(A) in Anrechnung, wovon auch der Umweltverträglichkeitsbericht ausgegangen war, was die Beschwerdeführerin selbst zugesteht. Die entsprechenden tatsächlichen Feststellungen erscheinen nicht sachfremd bzw. unhaltbar. Der gestützt auf Fachberichte errechnete Beurteilungspegel Lr von 71 dB(A) erweist sich daher für das Bundesgericht als verbindlich.</w:t>
      </w:r>
    </w:p>
    <w:p>
      <w:r>
        <w:rPr>
          <w:b/>
        </w:rPr>
        <w:t>E. 4.8</w:t>
      </w:r>
    </w:p>
    <w:p>
      <w:r>
        <w:t>Der für die Lärm-Empfindlichkeitsstufe IV am Tag massgebliche Planungswert von 65 dB(A) und selbst der Immissionsgrenzwert von 70 dB(A) gemäss Anhang 6 Ziff. 2 LSV werden demnach durch das hier zu beurteilende Projekt nicht eingehalten. Damit stehen Art. 25 Abs. 1 USG und Art. 7 Abs. 1 LSV der Erteilung der von der Beschwerdeführerin verlangten Bewilligung entgegen.</w:t>
      </w:r>
    </w:p>
    <w:p>
      <w:r>
        <w:rPr>
          <w:b/>
        </w:rPr>
        <w:t>E. 5.1</w:t>
      </w:r>
    </w:p>
    <w:p>
      <w:r>
        <w:t>Ist eine Bewilligung dem Grundsatz nach ausgeschlossen, bleibt zu prüfen, ob deren ausnahmsweise Erteilung gestützt auf Art. 25 Abs. 2 USG bzw. Art. 7 Abs. 2 LSV in Frage käme. Voraussetzung dafür ist ein überwiegendes öffentliches Interesse sowie dass die Immissionsgrenzwerte nicht überschritten werden. Massgeblich sind auch hier die konkreten Umstände des Einzelfalles, wobei grundsätzlich mit zu prüfen ist, ob die Einhaltung des Planungswertes zu einer unverhältnismässigen Belastung für das Projekt führen würde (vgl. URSULA BRUNNER ET AL. [Hrsg.]. Kommentar USG, 2. Aufl. 2002, N. 67 ff. zu Art. 25). Entscheidend muss es aber auch darauf ankommen, wie viele Lärmspitzen über den Grenzwerten den Menschen auf den umliegenden Grundstücken zumutbar sind.</w:t>
      </w:r>
    </w:p>
    <w:p>
      <w:r>
        <w:rPr>
          <w:b/>
        </w:rPr>
        <w:t>E. 5.2</w:t>
      </w:r>
    </w:p>
    <w:p>
      <w:r>
        <w:t>Im vorliegenden Fall scheitert eine solche Erleichterung schon am Verbot der Überschreitung des Immissionsgrenzwertes. Wie das Verwaltungsgericht richtig festgehalten hat, werden im Übrigen in der bundesgerichtlichen Rechtsprechung stark lärmige Anlässe mit beschränkter Dauer und Häufigkeit in einem ortsüblichen Umfang allgemein als zumutbar beurteilt. Dabei steht den Behörden ein gewisser Beurteilungsspielraum zu, sofern es sich um Brauchtums- oder Sportanlässe, Freiluftkonzerte, Umzüge, Festanlässe, Fasnacht und dergleichen mit lokaler Ausprägung oder Tradition handelt (vgl. BGE 126 II 300 E. 4c/dd S. 309; Urteil 1C_169/2008 vom 5. Dezember 2008 E. 11.4.2 in URP 2009 S. 123; THOMAS WIDMER DREIFUSS, Planung und Realisierung von Sportanlagen, 2002, 356 ff.). Die Verarbeitung von Bauschutt dient zwar auch der Nachhaltigkeit (vgl. Art. 73 BV ) und steht überdies unter dem Schutz der Wirtschaftsfreiheit ( Art. 27 BV ). Das Projekt der Beschwerdeführerin beruht aber weder auf besonderer Tradition und Ortsüblichkeit noch dient es einem ausgeprägten öffentlichen Interesse, sondern verfolgt überwiegend ihre eigenen geschäftlichen Interessen. Es kann hier offen bleiben, bei welcher genauen Anzahl von Tagen die Voraussetzung der beschränkten Dauer oder Häufigkeit der überhöhten Lärmerzeugung noch erfüllt wäre. Mit einer vorgesehenen Betriebstätigkeit des mobilen Brechers an mindestens 36 Tagen übersteigt das Vorhaben der Beschwerdeführerin jedenfalls eindeutig eine Grössenordnung, bei der noch von einer begrenzten Dauer im eher unwahrscheinlichen Fall, dass der Einsatz des Brechers einphasig erfolgen sollte, oder von einer beschränkten Häufigkeit bei einem wahrscheinlicheren wiederholten bzw. mehrphasigen Einsatz des Brechers ausgegangen werden könnte. Eine nur schon den Planungswert übersteigende Lärmbelastung an mindestens 36 Tagen im Jahr ist den Menschen auf den Nachbarliegenschaften nicht zumutbar. Überdies ist nicht nachgewiesen oder auch nur ersichtlich, dass die Verweigerung einer Erleichterung eine unverhältnismässige Belastung des Projekts der Beschwerdeführerin mit sich brächte.</w:t>
      </w:r>
    </w:p>
    <w:p>
      <w:r>
        <w:rPr>
          <w:b/>
        </w:rPr>
        <w:t>E. 5.3</w:t>
      </w:r>
    </w:p>
    <w:p>
      <w:r>
        <w:t>Damit verbietet es sich, der Beschwerdeführerin für ihr Baugesuch eine Erleichterung im Sinne von Art. 25 Abs. 2 USG bzw. Art. 7 Abs. 2 LSV zu gewähren. Der angefochtene Entscheid hält mithin vor Bundesrecht stand.</w:t>
      </w:r>
    </w:p>
    <w:p>
      <w:r>
        <w:rPr>
          <w:b/>
        </w:rPr>
        <w:t>E. 6</w:t>
      </w:r>
    </w:p>
    <w:p>
      <w:r>
        <w:t>Die Beschwerde erweist sich als unbegründet und ist abzuweisen.</w:t>
      </w:r>
    </w:p>
    <w:p>
      <w:r>
        <w:t>Bei diesem Verfahrensausgang wird die unterliegende Beschwerdeführerin kostenpflichtig ( Art. 66 Abs. 1, Art. 65 BGG ). Überdies hat sie einerseits die Beschwerdegegnerinnen 1-3 als Solidargläubigerinnen und andererseits den Beschwerdegegner 4 für das bundesgerichtliche Verfahren angemessen zu entschädigen; der Einwohnergemeinde Burgdorf und dem Kanton Bern steht keine Parteientschädigung zu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