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236/2010 vom 16. Juli 2010</w:t>
      </w:r>
    </w:p>
    <w:p>
      <w:r>
        <w:t>Bundesgericht, 2010-07-16, DE</w:t>
      </w:r>
    </w:p>
    <w:p>
      <w:r>
        <w:rPr>
          <w:b/>
        </w:rPr>
        <w:t xml:space="preserve">Quelle: </w:t>
      </w:r>
      <w:r>
        <w:t>https://mcp.opencaselaw.ch/entscheid/bger_1C_236_2010</w:t>
      </w:r>
    </w:p>
    <w:p>
      <w:r>
        <w:t>FR: TF 1C 236/2010 du 16 juillet 2010</w:t>
      </w:r>
    </w:p>
    <w:p>
      <w:r>
        <w:t>IT: TF 1C 236/2010 del 16 luglio 2010</w:t>
      </w:r>
    </w:p>
    <w:p>
      <w:pPr>
        <w:pStyle w:val="Heading2"/>
      </w:pPr>
      <w:r>
        <w:t>Regeste</w:t>
      </w:r>
    </w:p>
    <w:p>
      <w:r>
        <w:t>Bauvorhaben Wohn- und Gästehaus | Raumplanung und öffentliches Baurecht</w:t>
      </w:r>
    </w:p>
    <w:p>
      <w:pPr>
        <w:pStyle w:val="Heading2"/>
      </w:pPr>
      <w:r>
        <w:t>Erwägungen</w:t>
      </w:r>
    </w:p>
    <w:p>
      <w:r>
        <w:rPr>
          <w:b/>
        </w:rPr>
        <w:t>E. 1.1</w:t>
      </w:r>
    </w:p>
    <w:p>
      <w:r>
        <w:t>Das Urteil der Vorinstanz stützt sich auf öffentliches Recht (vgl. Art. 82 lit. a BGG ) und stellt einen kantonalen Endentscheid dar (vgl. Art. 86 Abs. 1 lit. d und Abs. 2 i.V.m. Art. 90 BGG ). Der Beschwerdeführer macht geltend, indem die Vorinstanz seine Legitimation teilweise verneint habe, habe sie unter anderem gegen Art. 33 Abs. 3 lit. a RPG (SR 700), Art. 95 ff. BGG , Art. 111 Abs. 1 BGG und Art. 29 BV verstossen. Zu dieser Rüge ist der Beschwerdeführer nach Art. 89 Abs. 1 BGG befugt, ungeachtet seiner Legitimation in der Sache (vgl. BGE 133 II 249 E. 1.3.2 S. 253 ; 133 I 185 E. 6.2 S. 198 ff.). Auf die frist- und formgerecht eingereichte Beschwerde ist daher einzutreten.</w:t>
      </w:r>
    </w:p>
    <w:p>
      <w:r>
        <w:rPr>
          <w:b/>
        </w:rPr>
        <w:t>E. 1.2</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des Beschwerdeführers zu Recht teilweise verneint hat, ist daher vorliegend die Beschwerdeberechtigung nach den Grundsätzen von Art. 89 Abs. 1 BGG zu prüfen.</w:t>
      </w:r>
    </w:p>
    <w:p>
      <w:r>
        <w:rPr>
          <w:b/>
        </w:rPr>
        <w:t>E. 1.3</w:t>
      </w:r>
    </w:p>
    <w:p>
      <w:r>
        <w:t>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Es kann insoweit an die Grundsätze, die zur Legitimationspraxis bei der Verwaltungsgerichtsbeschwerde nach Art. 103 lit. a OG entwickelt worden sind, angeknüpft werden ( BGE 133 II 400 E. 2.2 S. 404 f. mit Hinweisen).</w:t>
      </w:r>
    </w:p>
    <w:p>
      <w:r>
        <w:rPr>
          <w:b/>
        </w:rPr>
        <w:t>E. 1.4</w:t>
      </w:r>
    </w:p>
    <w:p>
      <w:r>
        <w:t>Die Behauptung allein, jemand sei von den Folgen einer Baubewilligung betroffen, genügt nicht, um die Beschwerdebefugnis zu begründen. Vielmehr muss aufgrund des konkreten Sachverhalts das besondere Berührtsein und das schutzwürdige Interesse glaubhaft erscheinen, ansonsten stünde jedermann die Beschwerdeberechtigung zu, der eine unzutreffende Behauptung aufstellt. Dies liefe im Ergebnis auf eine unzulässige Popularbeschwerde hinaus. Ein Kriterium für die Beurteilung der Beschwerdebefugnis eines Nachbarn ist die räumliche Nähe seines Grundstücks zum umstrittenen Bauvorhaben, wobei es nicht auf abstrakt bestimmte Distanzwerte ankommt. Das Beschwerderecht wird aber in der Regel anerkannt, wenn die Liegenschaft des Nachbarn unmittelbar an das Baugrundstück angrenzt oder allenfalls nur durch einen Verkehrsträger davon getrennt wird ( BGE 121 II 171 E. 2b S. 174 mit Hinweisen; Urteil des Bundesgerichts 1A.98/1994 vom 28. März 1995 E. 2b, in: ZBl 96/1995 S. 528 f.; Heinz Aemisegger/Stephan Haag, Kommentar zum RPG, Zürich 2010, Art. 33 N. 57 ff.). Liegt diese besondere Beziehungsnähe in räumlicher Hinsicht vor, braucht das Anfechtungsinteresse nicht mit dem Interesse übereinzustimmen, das durch die von der beschwerdeführenden Person als verletzt bezeichneten Normen geschützt wird (vgl. Peter Karlen, Das neue Bundesgerichtsgesetz, 2006, S. 52; Beusch/Moser/Kneubühler, Ausgewählte prozessrechtliche Fragen im Verfahren vor dem Bundesverwaltungsgericht, ZBl 2008 S. 15 f.). Der Nachbar kann mithin die Überprüfung eines Bauvorhabens im Lichte all jener Rechtssätze verlangen, die sich rechtlich oder tatsächlich in dem Sinne auf seine Stellung auswirken, so dass ihm im Falle des Obsiegens ein praktischer Nutzen entsteht. Nicht zulässig ist hingegen das Vorbringen von Beschwerdegründen, mit denen einzig ein allgemeines öffentliches Interesse an der richtigen Anwendung des Rechts verfolgt wird ( BGE 133 II 249 E. 1.3.2 S. 253), ohne dass dem Beschwerdeführer im Falle des Obsiegens ein Vorteil entsteht. Das Element des praktischen tatsächlichen Nutzens bildet somit ein wichtiges Eintretenskriterium, mit welchem ein "Ausufern" der Beschwerdemöglichkeiten verhindert werden kann (Heinz Aemisegger, Erste Erfahrungen mit dem Bundesgerichtsgesetz, in: Jusletter vom 10. November 2008 N. 52 und 65, www.weblaw.ch, besucht am 14. Juli 2010).</w:t>
      </w:r>
    </w:p>
    <w:p>
      <w:r>
        <w:rPr>
          <w:b/>
        </w:rPr>
        <w:t>E. 1.5</w:t>
      </w:r>
    </w:p>
    <w:p>
      <w:r>
        <w:t>Das Grundstück des Beschwerdeführers liegt in unmittelbarer Nachbarschaft zu demjenigen des Beschwerdegegners. Diese räumliche Nähe begründet eine besondere Betroffenheit des Beschwerdeführers. Er ist damit zumindest in tatsächlicher Hinsicht stärker vom Bauvorhaben berührt als die Allgemeinheit. Nicht von entscheidender Bedeutung ist insoweit, ob die Distanz zwischen der Liegenschaft des Beschwerdeführers und dem projektierten Hauptgebäude des Beschwerdegegners 10 Meter (Beschwerdeführer) oder 14 Meter (Vorinstanz) beträgt. Auch die Vorinstanz bejaht die Beschwerdeberechtigung des Beschwerdeführers im Grundsatz, geht allerdings von einer rügebezogenen Beurteilung der Legitimation aus. Während sie einzelne Vorbringen des Beschwerdeführers materiell prüft, verneint sie dessen Legitimation in Bezug auf die erhobene Rüge der mangelhaften Erschliessung des Grundstücks des Beschwerdegegners. Sie führt aus, der Beschwerdeführer sei zum Einwand, die Zufahrt zum Nachbargrundstück sei ungenügend, nicht legitimiert, da sein Grundstück nicht über die gleiche Strasse erschlossen sei und es ihm insoweit an einem schutzwürdigen Interesse fehle. Dieser Argumentation kann nicht gefolgt werden. Mit ihrer rügespezifischen Beurteilung vermengt die Vorinstanz Beschwerdelegitimation und Beschwerdegründe. Die Beschwerdelegitimation richtet sich ausschliesslich nach Art. 89 BGG . Sind die Voraussetzungen gegeben, ist der Beschwerdeführer mit sämtlichen der in Art. 95 ff. BGG aufgeführten Rügen zum Verfahren zuzulassen, wenn ihm durch die Gutheissung der Beschwerde ein praktischer Nutzen entstehen würde (vgl. Peter Hänni/Bernhard Waldmann, Besonderheiten der Beschwerde in öffentlich-rechtlichen Angelegenheiten nach dem neuen Bundesgerichtsgesetz im Bereich des Planungs- und Baurechts, Baurecht 2007 S. 161 f.). Vorliegend ist dies der Fall, soweit der Beschwerdeführer die unmittelbare Erschliessung des Nachbargrundstücks beanstandet. Eine hinreichende Erschliessung im Sinne von Art. 19 RPG ist eine Voraussetzung für die Erteilung einer Baubewilligung ( Art. 22 Abs. 2 lit. b RPG ). Bei einer ungenügenden Erschliessung würde die Baubewilligung verweigert. Der konkrete praktische Nutzen des Beschwerdeführers besteht mithin darin, dass das Bauvorhaben nicht verwirklicht würde, wenn er mit seiner Rüge durchdringen würde (vgl. Urteil 1C_240/2008 vom 27. August 2008 E. 6.1; siehe zudem Urteil 1C_108/2007 vom 11. Oktober 2007 E. 2; vgl. ferner Aemisegger, a.a.O., N. 55).</w:t>
      </w:r>
    </w:p>
    <w:p>
      <w:r>
        <w:rPr>
          <w:b/>
        </w:rPr>
        <w:t>E. 1.6</w:t>
      </w:r>
    </w:p>
    <w:p>
      <w:r>
        <w:t>Der Beschwerdeführer ist somit im Sinne von Art. 89 Abs. 1 BGG von der Erteilung der Baubewilligung besonders betroffen und hat an deren Aufhebung ein schutzwürdiges Interesse. Da die Legitimation des Beschwerdeführers im kantonalen Verfahren mindestens in gleichem Umfang zu gewähren ist, ist die Vorinstanz zu Unrecht nicht auf die Rüge der mangelhaften Erschliessung eingetreten.</w:t>
      </w:r>
    </w:p>
    <w:p>
      <w:r>
        <w:rPr>
          <w:b/>
        </w:rPr>
        <w:t>E. 2</w:t>
      </w:r>
    </w:p>
    <w:p>
      <w:r>
        <w:t>Zusammenfassend ergibt sich, dass die Beschwerde gutzuheissen und das angefochtene Urteil des Verwaltungsgerichts vom 6. April 2010 aufzuheben ist. Die Sache ist zu neuer Prüfung an die Vorinstanz zurückzuweisen ( Art. 107 Abs. 2 BGG ). Bei diesem Ausgang des Verfahrens sind die Gerichtskosten dem unterliegenden Beschwerdegegner aufzuerlegen ( Art. 66 Abs. 1 BGG ). Dieser hat dem Beschwerdeführer für das bundesgerichtliche Verfahren eine angemessene Parteientschädigung auszurichten (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