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235/2007 vom 29. November 2007</w:t>
      </w:r>
    </w:p>
    <w:p>
      <w:r>
        <w:t>Bundesgericht, 2007-11-29, FR</w:t>
      </w:r>
    </w:p>
    <w:p>
      <w:r>
        <w:rPr>
          <w:b/>
        </w:rPr>
        <w:t xml:space="preserve">Quelle: </w:t>
      </w:r>
      <w:r>
        <w:t>https://mcp.opencaselaw.ch/entscheid/bger_1C_235_2007</w:t>
      </w:r>
    </w:p>
    <w:p>
      <w:r>
        <w:t>FR: TF 1C 235/2007 du 29 novembre 2007</w:t>
      </w:r>
    </w:p>
    <w:p>
      <w:r>
        <w:t>IT: TF 1C 235/2007 del 29 novembre 2007</w:t>
      </w:r>
    </w:p>
    <w:p>
      <w:pPr>
        <w:pStyle w:val="Heading2"/>
      </w:pPr>
      <w:r>
        <w:t>Regeste</w:t>
      </w:r>
    </w:p>
    <w:p>
      <w:r>
        <w:t>retrait du permis de conduire | Construction des routes et circulation routière</w:t>
      </w:r>
    </w:p>
    <w:p>
      <w:pPr>
        <w:pStyle w:val="Heading2"/>
      </w:pPr>
      <w:r>
        <w:t>Erwägungen</w:t>
      </w:r>
    </w:p>
    <w:p>
      <w:r>
        <w:rPr>
          <w:b/>
        </w:rPr>
        <w:t>E. 1</w:t>
      </w:r>
    </w:p>
    <w:p>
      <w:r>
        <w:t>La décision attaquée ayant été rendue après le 1er janvier 2007, la loi fédérale du 17 juin 2005 sur le Tribunal fédéral (LTF; RS 173.110) est applicable à la présente procédure de recours ( art. 132 al. 1 LTF ).</w:t>
      </w:r>
    </w:p>
    <w:p>
      <w:r>
        <w:rPr>
          <w:b/>
        </w:rPr>
        <w:t>E. 1.1</w:t>
      </w:r>
    </w:p>
    <w:p>
      <w:r>
        <w:t>La voie du recours en matière de droit public, au sens des art. 82 ss LTF , est en principe ouverte contre les décisions prises en dernière instance cantonale au sujet de mesures administratives de retrait du permis de conduire. Le recourant est particulièrement atteint par la décision attaquée - qui confirme le retrait de son permis pour une durée de trois mois - et il a un intérêt digne de protection à son annulation; il a donc la qualité pour recourir au sens de l' art. 89 al. 1 let. a et b LTF . 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1.2</w:t>
      </w:r>
    </w:p>
    <w:p>
      <w:r>
        <w:t>Le recourant n'a formulé qu'une conclusion cassatoire, alors que le recours en matière de droit public, contrairement au recours de droit public ( art. 84 ss OJ ), n'est pas un recours en cassation mais un recours en réforme ( art. 107 al. 2 LTF ; ATF 133 III 489 consid. 3.1). Il ressort cependant clairement du mémoire que le recourant entend demander l'annulation de la décision du SAN ordonnant le retrait de son permis de conduire. Comprise dans ce sens, sa conclusion cassatoire ne s'oppose pas à l'entrée en matière sur le recours (cf. arrêt non publié 1C_142/2007 du 13 septembre 2007 consid. 4; arrêt 1C_86/ 2007 du 31 octobre 2007 consid. 1.4 destiné à la publication).</w:t>
      </w:r>
    </w:p>
    <w:p>
      <w:r>
        <w:rPr>
          <w:b/>
        </w:rPr>
        <w:t>E. 2</w:t>
      </w:r>
    </w:p>
    <w:p>
      <w:r>
        <w:t>Le Tribunal administratif a considéré que le permis du recourant pouvait être retiré pour une durée de trois mois en application de l' art. 16c al. 2 let. a LCR . Il estimait que même si l'instruction n'avait pas établi que l'intéressé circulait à une vitesse excessive, la perte de maîtrise suffisait à fonder un retrait de permis de trois mois, dès lors qu'une telle infraction était "une faute grave au sens de l' art. 16 a al. 1 let. a LCR ".</w:t>
      </w:r>
    </w:p>
    <w:p>
      <w:r>
        <w:rPr>
          <w:b/>
        </w:rPr>
        <w:t>E. 2.1</w:t>
      </w:r>
    </w:p>
    <w:p>
      <w:r>
        <w:t>Les faits déterminants se sont déroulés après l'entrée en vigueur, le 1er janvier 2005, des dispositions modifiées de la LCR régissant le retrait d'admonestation du permis de conduire, si bien que la gravité de l'infraction doit être qualifiée selon le nouveau droit (dispositions transitoires de la modification du 14 décembre 2001, al. 1; RO 2002 2781). Aux termes de l' art. 16a al. 1 let. a LCR , commet une infraction légère la personne qui, en violant les règles de la circulation, met légèrement en danger la sécurité d'autrui et à laquelle seule une faute bénigne peut être imputée. Selon, l' art. 16b al. 1 let. a LCR , commet une infraction moyennement grave la personne qui, en violant les règles de la circulation, crée un danger pour la sécurité d'autrui ou en prend le risque. Enfin, conformément à l' art. 16c al. 1 let. a LCR , commet une infraction grave la personne qui, en violant gravement les règles de la circulation, met sérieusement en danger la sécurité d'autrui ou en prend le risque. Selon ces dispositions, la qualification de l'infraction dépend donc du degré de la mise en danger de la sécurité d'autrui ainsi que de la gravité de la faute imputable au conducteur concerné.</w:t>
      </w:r>
    </w:p>
    <w:p>
      <w:r>
        <w:rPr>
          <w:b/>
        </w:rPr>
        <w:t>E. 2.2</w:t>
      </w:r>
    </w:p>
    <w:p>
      <w:r>
        <w:t>Il découle de ce qui précède que la perte de maîtrise du véhicule ne constitue pas toujours une infraction grave au sens de l' art. 16c al. 1 let. a LCR , contrairement à ce que semble considérer le Tribunal administratif. Une telle conclusion ne saurait en tout cas être déduite de l'arrêt cité par cette autorité à l'appui de son raisonnement ( ATF 127 II 302 ), puisque dans cet arrêt il est justement admis qu'une perte de maîtrise peut constituer un cas de peu de gravité suivant les circonstances du cas d'espèce. C'est donc bien selon ces circonstances - en particulier selon le degré de mise en danger de la sécurité d'autrui et selon la faute de l'intéressé - qu'il y a lieu de qualifier la gravité de l'infraction. Il n'est dès lors aucunement exclu qu'une perte de maîtrise ne cause qu'une mise en danger moyennement grave au sens de l' art. 16b al. 1 let. a LCR , voire légère au sens de l' art. 16a al. 1 let. a LCR (cf. CÉDRIC MIZEL, Les nouvelles dispositions légales sur le retrait du permis de conduire, in RDAF 2004 I 361, p. 367). En omettant d'examiner ces questions, le Tribunal administratif a violé les art. 16a ss LCR , de sorte qu'il convient d'annuler l'arrêt attaqué et de renvoyer la cause à cette autorité pour nouvelle décision. Il lui appartiendra de déterminer, selon les circonstances du cas d'espèce, le degré de la mise en danger provoquée par la perte de maîtrise ainsi que la gravité de la faute imputable au recourant.</w:t>
      </w:r>
    </w:p>
    <w:p>
      <w:r>
        <w:rPr>
          <w:b/>
        </w:rPr>
        <w:t>E. 3</w:t>
      </w:r>
    </w:p>
    <w:p>
      <w:r>
        <w:t>Il s'ensuit que le recours en matière de droit public doit être admis et l'arrêt attaqué annulé, l'affaire étant renvoyée au Tribunal administratif pour nouvelle décision dans le sens des considérants. Il n'y a pas lieu de percevoir des frais judiciaires ( art. 66 al. 4 LTF ). Le recourant, assisté d'un avocat, a droit à des dépens, à la charge de l'Etat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