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1C_233/2014 vom 23. Februar 2015</w:t>
      </w:r>
    </w:p>
    <w:p>
      <w:r>
        <w:t>Bundesgericht, 2015-02-23, FR</w:t>
      </w:r>
    </w:p>
    <w:p>
      <w:r>
        <w:rPr>
          <w:b/>
        </w:rPr>
        <w:t xml:space="preserve">Quelle: </w:t>
      </w:r>
      <w:r>
        <w:t>https://mcp.opencaselaw.ch/entscheid/bger_1C_233_2014</w:t>
      </w:r>
    </w:p>
    <w:p>
      <w:r>
        <w:t>FR: TF 1C_233/2014 du 23 février 2015</w:t>
      </w:r>
    </w:p>
    <w:p>
      <w:r>
        <w:t>IT: TF 1C_233/2014 del 23 febbraio 2015</w:t>
      </w:r>
    </w:p>
    <w:p>
      <w:pPr>
        <w:pStyle w:val="Heading2"/>
      </w:pPr>
      <w:r>
        <w:t>Erwägungen</w:t>
      </w:r>
    </w:p>
    <w:p>
      <w:r>
        <w:rPr>
          <w:b/>
        </w:rPr>
        <w:t>E. 1</w:t>
      </w:r>
    </w:p>
    <w:p>
      <w:r>
        <w:t>Les recours portent d'une part sur le refus d'autoriser des transformations et constructions de bâtiments en zone agricole, et d'autre part sur un ordre de remise en état consécutif à ce refus. Il y a donc lieu de joindre les causes et de statuer à leur sujet par un seul arrêt. Les causes ont été instruites parallèlement et, s'il convient de statuer en premier lieu sur le recours relatif à l'autorisation de construire, il ne se justifie pas de suspendre la procédure relative à l'ordre de remise en état et à l'amende administrative.</w:t>
      </w:r>
    </w:p>
    <w:p>
      <w:r>
        <w:rPr>
          <w:b/>
        </w:rPr>
        <w:t>E. 2</w:t>
      </w:r>
    </w:p>
    <w:p>
      <w:r>
        <w:t>Dirigés contre deux arrêts de dernière instance cantonale confirmant des décisions rendues dans le domaine du droit public des constructions, les recours sont en principe recevables comme recours en matière de droit public conformément aux art. 82 ss LTF , aucune des exceptions prévues à l' art. 83 LTF n'étant réalisée. Les recourants ont pris part à la procédure devant le Tribunal cantonal. Ils sont particulièrement touchés par les arrêts attaqués qui confirment un refus d'autorisation, ainsi qu'un ordre de remise en état. Ils peuvent ainsi se prévaloir d'un intérêt personnel et digne de protection à leur annulation ou à leur modification, et ont dès lors qualité pour agir au sens de l' art. 89 al. 1 LTF .</w:t>
      </w:r>
    </w:p>
    <w:p>
      <w:r>
        <w:t>Les autres conditions de recevabilité sont également remplies, de sorte qu'il y a lieu d'entrer en matière et d'examiner en premier lieu le recours relatif au refus d'autorisation de construire (1C_235/2014).</w:t>
      </w:r>
    </w:p>
    <w:p>
      <w:r>
        <w:rPr>
          <w:b/>
        </w:rPr>
        <w:t>E. 3</w:t>
      </w:r>
    </w:p>
    <w:p>
      <w:r>
        <w:t>Invoquant les art. 16a et 22 LAT ainsi que 34 OAT, les recourants relèvent qu'il existe sur la parcelle une exploitation agricole de 100 ares de légumes et de fruits cultivés selon les principes de l'agriculture biologique. Au bénéfice d'un bail à ferme de quinze ans renouvelable pour six ans et d'une formation d'agriculteur, le recourant B.________ livrerait directement sa production aux restaurateurs ou par paniers à des particuliers. Il élèverait en outre des vaches et des veaux - activité dont il n'aurait pas été tenu compte dans le préavis de la Direction générale de l'agriculture -, cultiverait des fleurs et vendrait du bois provenant du domaine. Les constructions serviraient ainsi au stockage, au lavage, au tri et au conditionnement de la production, à l'entreposage du matériel et des machines; une étable serait nécessaire, de même qu'un bureau pour la gestion. Les constructions serviraient ainsi à une exploitation tributaire du sol et s'intégreraient parfaitement dans le domaine. La cour cantonale ne pouvait mettre en doute la viabilité de l'exploitation dès lors que le recourant B.________ - qui a investi une partie de sa prévoyance professionnelle et a conclu un bail de quinze ans - en tirait un revenu mensuel de 5'000 fr. peu de temps après le début de son activité. La vente directe de produits biologiques connaitrait une forte demande dans le canton de Genève.</w:t>
      </w:r>
    </w:p>
    <w:p>
      <w:r>
        <w:rPr>
          <w:b/>
        </w:rPr>
        <w:t>E. 3.1</w:t>
      </w:r>
    </w:p>
    <w:p>
      <w:r>
        <w:t>L' art. 16a LAT fixe les conditions générales auxquelles des constructions et des installations peuvent être considérées comme conformes à l'affectation de la zone agricole au sens de l' art. 22 al. 2 let. a LAT .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 En exigeant que la construction soit nécessaire à l'exploitation en cause, l' art. 34 al. 4 let. a OAT (qui reprend la condition posée à l' art. 16a al. 1 LAT )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1C_22/2012 du 30 août 2012; 1C_27/2008 du 25 juin 2008 consid. 2.3). En définitive, les constructions doivent être adaptées, notamment par leur importance et leur implantation, aux besoins objectifs de l'exploitation en cause ( ATF 133 II 370 consid. 4.2 p. 374; 129 II 413 consid. 3.2 p. 415).</w:t>
      </w:r>
    </w:p>
    <w:p>
      <w:r>
        <w:rPr>
          <w:b/>
        </w:rPr>
        <w:t>E. 3.2</w:t>
      </w:r>
    </w:p>
    <w:p>
      <w:r>
        <w:t>La condition de la subsistance à long terme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1C_535/2008 du 26 mars 2009 consid. 4.1 et les références), si possible par l'établissement d'un plan de gestion ( ATF 133 II 370 consid. 5 p. 378; arrêt 1C_157/2009 du 26 novembre 2009 consid. 3, in ZBl 112/2011, p. 217).</w:t>
      </w:r>
    </w:p>
    <w:p>
      <w:r>
        <w:rPr>
          <w:b/>
        </w:rPr>
        <w:t>E. 3.3</w:t>
      </w:r>
    </w:p>
    <w:p>
      <w:r>
        <w:t>Avec sa demande d'autorisation de construire, le recourant B.________ a exposé son projet qui consistait dans une unité de production de légumes de saison en culture biologique, d'oeufs (une douzaine de poules au maximum) et de fleurs à couper, produits proposés à la vente directe ou livrés à des particuliers. Il envisageait également du "gardiennage de plantes de type méditerranéen". Le requérant expliquait avoir besoin du bâtiment principal pour laver et conditionner les légumes, oeufs et fleurs, de la partie haute du bâtiment pour le stockage de plantes en hiver, d'un garage pour tracteur, véhicule de livraison et réparations, d'une surface de bureaux pour la facturation et l'administration, d'une salle d'eau et d'un hangar pour les machines agricoles, ainsi que du poulailler.</w:t>
      </w:r>
    </w:p>
    <w:p>
      <w:r>
        <w:t>Le 20 février 2012, le requérant a produit un budget pour 2012, prévoyant un résultat d'exploitation de 50'000 fr. environ avec une légère baisse pour les années 2013 et 2014 et une augmentation en 2015. Le 2 septembre 2012, il a établi un nouveau document faisant état de résultats à la baisse (33'000 fr. pour 2012, 51'000 fr. pour 2015). Devant les doutes émis, notamment par la Direction générale de l'agriculture, sur la viabilité d'une telle exploitation agricole, le recourant a indiqué devant le TAPI qu'il réalisait un revenu mensuel moyen de 5'000 fr. et qu'il travaillait à mi-temps pour un paysagiste, activité qu'il a ensuite déclaré, dans son recours cantonal, avoir abandonnée, précisant qu'il ne l'exerçait que durant la période hivernale; il est aussi apparu que le bâtiment principal abritait quatre chevaux et deux vaches, ainsi que deux veaux, lesquels ne figuraient pas dans les plans d'exploitation précités. Dans son écriture du 14 juin 2013, le recourant a encore indiqué qu'il avait augmenté le nombre de poules, que des canards étaient aussi élevés et qu'une activité de coupe de bois était également développée. Enfin, le 3 septembre puis le 16 octobre 2013, le recourant a indiqué qu'il avait obtenu la certification "Bourgeon" et acquis quatre nouvelles vaches; il avait en outre retiré une partie de son deuxième pilier pour l'investir dans son exploitation.</w:t>
      </w:r>
    </w:p>
    <w:p>
      <w:r>
        <w:t>Les seuls documents censés démontrer la viabilité à long terme de l'exploitation sont ainsi les budgets établis en février 2012, et revus à la baisse en septembre 2012, documents qui ne tiennent pas compte des changements intervenus ultérieurement. Au stade actuel de la procédure, le recourant se contente encore de généralités sur la nature de son exploitation et la demande en produits biologiques. Il affirme que ses revenus mensuels étaient de 5'000 fr. au début de son activité. On ignore toutefois les résultats effectifs de l'exploitation pour les années 2012 à 2014.</w:t>
      </w:r>
    </w:p>
    <w:p>
      <w:r>
        <w:t>Il apparaît en définitive que la demande d'autorisation de construire tend à la régularisation de constructions déjà réalisées sans autorisation et qui ont fait l'objet d'ordres de remise en état non exécutés. Compte tenu des nombreux changements dans les allégations du recourant, celui-ci semble avoir tenté d'adapter les besoins de son exploitation aux bâtiments existants, plutôt que l'inverse qui est exigé par l' art. 34 al. 4 OAT . Sur le vu de ce qui précède, le recourant ne démontre pas que les conditions posées par cette disposition seraient réalisées s'agissant de la viabilité à long terme (let. c) de l'exploitation et de la nécessité des constructions (let. a). Il ressort au demeurant du dossier que ces constructions ne répondent pas non plus aux exigences de l' art. 34 al. 4 let. b OAT : selon le préavis du Service des monuments et des sites du 27 février 2012, établi sur la base d'un reportage photographique, les constructions litigieuses auraient un impact visuel négatif par rapport au parc arborisé et à la maison de maître protégée. Le refus d'autorisation confirmé par la cour cantonale ne viole dès lors pas le droit fédéral.</w:t>
      </w:r>
    </w:p>
    <w:p>
      <w:r>
        <w:t>Quant aux dispositions de droit cantonal invoquées par les recourants (art. 20 LALAT, qui reprend les exigences de l' art. 34 OAT ; art. 5 LCI, qui impose la délivrance d'une autorisation lorsque les conditions légales sont réunies), elles n'ont aucune portée propre, de même que le grief d'arbitraire soulevé à leur propos. Le recours 1C_235/2014 doit ainsi être rejeté.</w:t>
      </w:r>
    </w:p>
    <w:p>
      <w:r>
        <w:rPr>
          <w:b/>
        </w:rPr>
        <w:t>E. 4</w:t>
      </w:r>
    </w:p>
    <w:p>
      <w:r>
        <w:t>Dans son recours dirigé contre l'ordre de remise en état, le recourant A.________ se plaint d'une application arbitraire des art. 129 et 130 LCI et invoque la garantie de la propriété ( art. 26 Cst. ). Pour l'essentiel, son argumentation consiste à affirmer que les constructions litigieuses devraient être autorisées, ce qui n'est pas le cas comme cela est constaté ci-dessus.</w:t>
      </w:r>
    </w:p>
    <w:p>
      <w:r>
        <w:t>Pour le surplus, le recourant allègue simplement que les constructions, en parfait état, ne présenteraient aucun danger pour le public. L'arrêt attaqué n'est toutefois pas fondé sur l'existence d'un tel danger, mais sur l'intérêt public lié au respect de la loi. La jurisprudence constante considère en effet qu'un 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t>Le recours n'invoque aucune circonstance qui pourrait conduire l'autorité à renoncer à ordonner une remise en état: les inconvénients qui en résultent pour le propriétaire doivent être mis en balance avec l'intérêt public majeur que constituent la préservation des zones agricoles et la distinction fondamentale entre espace bâti et non bâti. Quant à l'amende administrative, qui fait elle aussi l'objet de l'arrêt attaqué, elle n'est pas contestée par le recourant.</w:t>
      </w:r>
    </w:p>
    <w:p>
      <w:r>
        <w:t>Le recours doit dès lors être lui aussi rejeté.</w:t>
      </w:r>
    </w:p>
    <w:p>
      <w:r>
        <w:rPr>
          <w:b/>
        </w:rPr>
        <w:t>E. 5</w:t>
      </w:r>
    </w:p>
    <w:p>
      <w:r>
        <w:t>Sur le vu de ce qui précède, les deux recours sont rejetés. Les frais judiciaires sont mis à la charge des recourants,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