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1C_233/2008 vom 22. Mai 2008</w:t>
      </w:r>
    </w:p>
    <w:p>
      <w:r>
        <w:t>Bundesgericht, 2008-05-22, FR</w:t>
      </w:r>
    </w:p>
    <w:p>
      <w:r>
        <w:rPr>
          <w:b/>
        </w:rPr>
        <w:t xml:space="preserve">Quelle: </w:t>
      </w:r>
      <w:r>
        <w:t>https://mcp.opencaselaw.ch/entscheid/bger_1C_233_2008</w:t>
      </w:r>
    </w:p>
    <w:p>
      <w:r>
        <w:t>FR: TF 1C_233/2008 du 22 mai 2008</w:t>
      </w:r>
    </w:p>
    <w:p>
      <w:r>
        <w:t>IT: TF 1C_233/2008 del 22 maggio 2008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1.2</w:t>
      </w:r>
    </w:p>
    <w:p>
      <w:r>
        <w:t>En l'occurrence, la décision de clôture porte bien sur la transmission de documents concernant le domaine secret. Toutefois, en dépit des explications des recourants, le cas ne revêt pas d'importance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t>Les montants en jeu sont certes importants, mais pas exceptionnels dans le cadre d'une affaire donnant lieu à la coopération internationale. La procédure pénale en Belgique ne présente pas un caractère, notamment politique, qui pourrait justifier une application de l' art. 3 al. 1 EIMP ( ATF 133 IV 40 consid. 7.3). Les recourants se plaignent d'arbitraire (s'agissant de la portée du jugement rendu à Hong Kong), de la nature fiscale de la procédure étrangère, de lacunes dans la demande d'entraide, d'une violation du principe de la proportionnalité et du droit d'être entendus. Les irrégularités qu'ils voient dans la procédure d'entraide judiciaire ne sauraient toutefois être assimilées à un défaut grave de la procédure étrangère, cette dernière expression devant être interprétée de manière restrictive. Les objections soulevées sur le fond ne suffisent évidemment pas à faire du présent cas une affaire de principe. Au demeurant, sur l'ensemble des griefs soulevés, les recourants ne prétendent pas que le Tribunal pénal fédéral se serait écarté de la jurisprudence constante.</w:t>
      </w:r>
    </w:p>
    <w:p>
      <w:r>
        <w:rPr>
          <w:b/>
        </w:rPr>
        <w:t>E. 2</w:t>
      </w:r>
    </w:p>
    <w:p>
      <w:r>
        <w:t>Le recours est par conséquent irrecevable. Conformément à l' art. 66 al. 1 LTF , les frais judiciaires sont mis à la charge des recourants qui succombent.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