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233/2007 vom 14. Februar 2008</w:t>
      </w:r>
    </w:p>
    <w:p>
      <w:r>
        <w:t>Bundesgericht, 2008-02-14, DE</w:t>
      </w:r>
    </w:p>
    <w:p>
      <w:r>
        <w:rPr>
          <w:b/>
        </w:rPr>
        <w:t xml:space="preserve">Quelle: </w:t>
      </w:r>
      <w:r>
        <w:t>https://mcp.opencaselaw.ch/entscheid/bger_1C_233_2007</w:t>
      </w:r>
    </w:p>
    <w:p>
      <w:r>
        <w:t>FR: TF 1C 233/2007 du 14 février 2008</w:t>
      </w:r>
    </w:p>
    <w:p>
      <w:r>
        <w:t>IT: TF 1C 233/2007 del 14 febbraio 2008</w:t>
      </w:r>
    </w:p>
    <w:p>
      <w:pPr>
        <w:pStyle w:val="Heading2"/>
      </w:pPr>
      <w:r>
        <w:t>Regeste</w:t>
      </w:r>
    </w:p>
    <w:p>
      <w:r>
        <w:t>vorsorglicher Entzug des Führerausweises für Motorfahzeuge | Strassenbau und Strassenverkehr</w:t>
      </w:r>
    </w:p>
    <w:p>
      <w:pPr>
        <w:pStyle w:val="Heading2"/>
      </w:pPr>
      <w:r>
        <w:t>Erwägungen</w:t>
      </w:r>
    </w:p>
    <w:p>
      <w:r>
        <w:rPr>
          <w:b/>
        </w:rPr>
        <w:t>E. 1.1</w:t>
      </w:r>
    </w:p>
    <w:p>
      <w:r>
        <w:t>Der angefochtene Entscheid betrifft eine Angelegenheit des öffentlichen Rechts. Dagegen ist die Beschwerde nach Art. 82 ff. BGG zulässig (vgl. Urteil 1C_163/2007 vom 4. Juli 2007 E. 4). Die kantonalen Instanzen haben dem Beschwerdeführer den Führerausweis gestützt auf Art. 30 VZV vorsorglich entzogen. Die Verfügung über den vorsorglichen Führerausweisentzug schliesst das Verfahren betreffend den Sicherungsentzug nicht ab. Sie stellt vielmehr einen Zwischenschritt auf dem Weg zur Endverfügung - betreffend den Sicherungsentzug - dar. Bei der Verfügung über den vorsorglichen Führerausweisentzug handelt es sich daher um eine Zwischenverfügung (vgl. BGE 122 II 359 E. 1a S. 361 f.; Urteil 2A.406/1996 vom 12. März 1997 E. 2a; Botschaft zur Totalrevision der Bundesrechtspflege vom 28. Februar 2001, BBl 2001, S. 4332). Dagegen ist die Beschwerde nach Art. 93 Abs. 1 BGG nur zulässig, wenn die Verfügung unter anderem einen nicht wieder gutzumachenden Nachteil bewirken kann (lit. a). Ein solcher Nachteil ist bei einem vorsorglichen Führerausweisentzug zu bejahen (vgl. BGE 122 II 359 E. 1b S. 362; Urteil 2A.406/1996 vom 12. März 1997 E. 2b). Der angefochtene Entscheid ist kantonal letztinstanzlich. Die Beschwerde ist nach Art. 86 Abs. 1 lit. d BGG zulässig. Der Beschwerdeführer hat vor der Vorinstanz am Verfahren teilgenommen. Er ist durch den angefochtenen Entscheid besonders berührt und hat ein schutzwürdiges Interesse an dessen Aufhebung. Er ist somit nach Art. 89 Abs. 1 BGG zur Beschwerde befugt. Die weiteren Sachurteilsvoraussetzungen geben zu keinen Bemerkungen Anlass. Auf die Beschwerde ist grundsätzlich einzutreten.</w:t>
      </w:r>
    </w:p>
    <w:p>
      <w:r>
        <w:rPr>
          <w:b/>
        </w:rPr>
        <w:t>E. 1.2</w:t>
      </w:r>
    </w:p>
    <w:p>
      <w:r>
        <w:t>Der vorsorgliche Führerausweisentzug stellt eine vorsorgliche Massnahme zur Sicherstellung gefährdeter Interessen bis zum Abschluss des Hauptverfahrens dar ( BGE 125 II 396 E. 3 S. 401; 122 II 359 E. 1a S. 362; Urteil 2A.406/1996 vom 12. März 1997 E. 2a). Gemäss Art. 98 BGG kann der Beschwerdeführer somit nur die Verletzung verfassungsmässiger Rechte rügen. Nach Art. 106 Abs. 2 BGG prüft das Bundesgericht die Verletzung von Grundrechten nur insofern, als eine solche Rüge in der Beschwerde vorgebracht und begründet worden ist. Insoweit gelten die gleichen Begründungsanforderungen wie früher bei der staatsrechtlichen Beschwerde nach Art. 90 Abs. 1 lit. b OG ( BGE 133 III 589 E. 2 S. 591 f.; 133 IV 286 E. 1.4).</w:t>
      </w:r>
    </w:p>
    <w:p>
      <w:r>
        <w:rPr>
          <w:b/>
        </w:rPr>
        <w:t>E. 2.1.1</w:t>
      </w:r>
    </w:p>
    <w:p>
      <w:r>
        <w:t>Der Beschwerdeführer rügt (S. 9 ff.) eine Verletzung seines Anspruchs auf rechtliches Gehör nach Art. 6 EMRK , Art. 29 Abs. 2 BV und Art. 26 Abs. 2 KV/BE . Er bringt vor, er habe bereits im Verfahren vor der Vorinstanz eine Verletzung des rechtlichen Gehörs gerügt, da das Strassenverkehrsamt die Verfügung vom 4. Juli 2007 ohne seine vorgängige Anhörung erlassen habe. Die Vorinstanz habe eine Verletzung des rechtlichen Gehörs verneint mit der Begründung, es sei Gefahr im Verzug gewesen, weshalb eine Anhörung vor Erlass der Verfügung durch das Strassenverkehrsamt habe unterbleiben können. Dem könne nicht gefolgt werden. Zwischen dem Unfall am 7. Mai 2007 und der Verfügung des Strassenverkehrsamtes am 4. Juli 2007 seien fast zwei Monate vergangen. Diese Zeit hätte klar ausgereicht, um vom Beschwerdeführer eine Stellungnahme zur Annahme einer Medikamentenüberdosis zum Unfallzeitpunkt, auf welche sich die Verfügung vom 4. Juli 2007 hauptsächlich stütze, einzuholen. Indem das Strassenverkehrsamt dies unterlassen habe, habe es das rechtliche Gehör des Beschwerdeführers verletzt. Diese Gehörsverletzung sei erst durch die Möglichkeit zur Stellungnahme im Rahmen des Beschwerdeverfahrens vor der Vorinstanz geheilt worden. Wie bereits in der vorinstanzlichen Beschwerde ausgeführt worden sei, hätte der Beschwerdeführer im Rahmen einer Stellungnahme zur behaupteten Medikamentenüberdosis den Aufnahmebericht von Dr. E.________ vom 7. Mai 2007 einreichen können, welchem kein Hinweis auf eine Überdosis Medikamente zu entnehmen sei. Die Begründung eines vorsorglichen Führerausweisentzuges hätte in Kenntnis dieses Berichtes - wenn denn ein vorsorglicher Entzug überhaupt noch verfügt worden wäre - anders ausfallen müssen. Durch das Vorgehen der verfügenden Behörde sei der Beschwerdeführer gezwungen gewesen, seine Argumente gegen das Vorliegen einer Überdosis Medikamente im Unfallzeitpunkt mit Beschwerde an die Vorinstanz geltend zu machen. Selbst bei Abweisung der Beschwerde wäre diesem Punkt bei der Verlegung der Verfahrenskosten - wie bereits in der Beschwerdeschrift an die Vorinstanz ausgeführt - Rechnung zu tragen gewesen. Dem Beschwerdeführer hätte zudem unabhängig vom Ausgang des Verfahrens eine Parteientschädigung zugesprochen werden müssen. Indem die Vorinstanz die gesamten Kosten des Beschwerdeverfahrens trotz einer Verletzung des rechtlichen Gehörs im vorangegangenen Verwaltungsverfahren dem Beschwerdeführer auferlegt und auf die Ausrichtung einer Parteientschädigung verzichtet habe, habe sie den betreffenden Teilaspekt des verfassungsrechtlichen Anspruchs auf rechtliches Gehör verletzt.</w:t>
      </w:r>
    </w:p>
    <w:p>
      <w:r>
        <w:rPr>
          <w:b/>
        </w:rPr>
        <w:t>E. 2.1.2</w:t>
      </w:r>
    </w:p>
    <w:p>
      <w:r>
        <w:t>Soweit sich der Beschwerdeführer auf Art. 6 EMRK beruft, kann auf die Beschwerde nicht eingetreten werden. Diese Bestimmung ist bei einer vorsorglichen Massnahme wie dem vorsorglichen Führerausweisentzug nicht anwendbar (Urteile 2A.624/1996 vom 21. April 1997 E. 2; 2A.402/1995 vom 11. Januar 1996 E. 2b; 6A.72/1995 vom 30. August 1995 E. 4, mit Hinweisen). Die Rüge ist im Lichte von Art. 29 Abs. 2 BV und Art. 26 Abs. 2 KV/BE zu prüfen. Diese letztere Bestimmung geht jedenfalls im vorliegenden Zusammenhang in ihrem Gehalt nicht über Art. 29 Abs. 2 BV hinaus. Der Beschwerdeführer behauptet das auch nicht.</w:t>
      </w:r>
    </w:p>
    <w:p>
      <w:r>
        <w:rPr>
          <w:b/>
        </w:rPr>
        <w:t>E. 2.1.3</w:t>
      </w:r>
    </w:p>
    <w:p>
      <w:r>
        <w:t>Er gibt den Sachverhalt verkürzt wieder. Das Strassenverkehrsamt ordnete bereits mit Verfügung vom 11. Juni 2007 den vorsorglichen Entzug des Führerausweises und die Eignungsuntersuchung durch die Klinik für Suchttherapien "Südhang" an. Die Verfügung wurde in der Folge mit dem Vermerk "nicht abgeholt" an das Strassenverkehrsamt zurückgesandt. Darauf beauftragte dieses die Polizei am 22. Juni 2007 mit der Aushändigung der Verfügung. Nachdem sich dann der Beschwerdeführer am 3. Juli 2007 telefonisch beim Strassenverkehrsamt erkundigt und verlangt hatte, die Verfügung sei seinem Anwalt zuzustellen, erliess das Strassenverkehrsamt am 4. Juli 2007 die neue Verfügung mit gleichem Inhalt. Das Strassenverkehrsamt hat also nach dem Unfall vom 7. Mai 2007 nicht fast zwei Monate bis zum Erlass der Verfügung zugewartet. Ob es annehmen durfte, es sei Gefahr im Verzug, und deshalb zu Recht von einer Anhörung des Beschwerdeführers abgesehen hat, kann offenbleiben. Eine Verletzung des Anspruchs auf rechtliches Gehör wäre im vorinstanzlichen Verfahren jedenfalls geheilt worden, da sich der Beschwerdeführer in der kantonalen Beschwerde umfassend zur Sache äussern konnte und die Kognition der Vorinstanz nicht eingeschränkt war. Der Beschwerdeführer anerkennt dies. Mit der Heilung besteht insoweit aber keine Verletzung des rechtlichen Gehörs mehr. Wie der Beschwerdeführer zu Recht vorbringt, war er allerdings gezwungen, gegen die Verfügung des Strassenverkehrsamtes Beschwerde zu erheben, um sich erstmals Gehör verschaffen und seinen Standpunkt in das Verfahren einbringen zu können. Dies hätte die Vorinstanz beim Kostenentscheid berücksichtigen müssen. Der Anspruch auf rechtliches Gehör dient nicht nur der Sachaufklärung, sondern ist auch ein persönlichkeitsbezogenes Mitwirkungsrecht des Einzelnen beim Erlass eines in seine Rechtsstellung eingreifenden Entscheids. Dieses Recht ist nur wirksam, wenn sich der Bürger in einer ihn betreffenden Sache, in welcher ein Verwaltungsverfahren ohne seinen Willen eröffnet wurde, frei von Kostenrisiken äussern kann. Wäre dem nicht so, würde die Wahrnehmung seiner Rechte erschwert. Ist der Betroffene gezwungen, ein Rechtsmittel zu ergreifen, um sich erstmals Gehör verschaffen zu können, darf ihm nach der bundesgerichtlichen Rechtsprechung die Rechtsmittelinstanz - unter Vorbehalt der Trölerei und des Rechtsmissbrauchs - auch bei Abweisung keine Kosten auferlegen ( BGE 122 II 274 E. 6 S. 285 ff.; vgl. auch Urteil 1A.42/1993 vom 14. März 1994, E. 4 und 10). Im Schrifttum zum hier massgebenden Berner Verfahrensrecht wird ebenfalls darauf hingewiesen, dass dem Umstand, wonach sich der Betroffene erst vor einer höheren Instanz äussern konnte, im Kostenpunkt Rechnung zu tragen ist (Thomas Merkli/Arthur Aeschlimann/Ruth Herzog, Kommentar zum Gesetz über die Verwaltungsrechtspflege im Kanton Bern, Bern 1997, Art. 21 N. 16). Dieser Umstand spricht nicht nur für den Verzicht auf die Erhebung von Kosten, sondern ebenso für die Ausrichtung einer Parteientschädigung (Merkli/Aeschlimann/Herzog, a.a.O., Art. 108 N. 9 und 16). Das Verwaltungsgericht des Kantons Bern hat denn auch in einem vergleichbaren Fall, in dem eine anwaltlich vertretene Frau zur Wahrung ihres Rechts auf Akteneinsicht zur Beschwerdeerhebung gezwungen war, die Ausrichtung einer Parteientschädigung an die Beschwerdeführerin als geboten erachtet (Urteil vom 28. Oktober 1992, BVR 1993 S. 333 ff., E. 5 S. 336). Die Vorinstanz hat die Kosten des Verfahrens (von Fr. 250.--) dem Beschwerdeführer auferlegt. Eine Parteientschädigung hat sie ihm nicht zugesprochen. Dies verletzt nach dem Gesagten Verfassungsrecht. Die Vorinstanz hätte, wie das der Beschwerdeführer in der kantonalen Beschwerde (S. 15 f. Art. 8 lit. c) verlangt hatte, auf die Erhebung von Kosten verzichten und ihm - da er unter den gegebenen Umständen begründeten Anlass zur Beiziehung eines Anwalts hatte - eine Parteientschädigung ausrichten müssen. Die Beschwerde ist in diesem Punkt begründet.</w:t>
      </w:r>
    </w:p>
    <w:p>
      <w:r>
        <w:rPr>
          <w:b/>
        </w:rPr>
        <w:t>E. 2.2.1</w:t>
      </w:r>
    </w:p>
    <w:p>
      <w:r>
        <w:t>Der Beschwerdeführer bringt vor, offenbar aufgrund der Ausführungen und der Beweismittel in der Beschwerdeschrift, insbesondere des erwähnten Aufnahmeberichts von Dr. E.________ vom 7. Mai 2007, stütze sich die Vorinstanz richtigerweise nicht mehr auf die Behauptung einer Überdosis Medikamente. Stattdessen führe sie einen neuen Grund für den vorsorglichen Entzug des Führerausweises an, nämlich die Vermutung, der Beschwerdeführer leide gegenwärtig an einem manischen Schub. Damit verletze die Vorinstanz das rechtliche Gehör des Beschwerdeführers erneut. Dieser habe keine Gelegenheit erhalten, zu dieser unerwarteten Vermutung Stellung zu nehmen. Insbesondere sei ihm damit die Möglichkeit verwehrt worden, ein ärztliches Attest zur Widerlegung eines manischen Schubs einzuholen.</w:t>
      </w:r>
    </w:p>
    <w:p>
      <w:r>
        <w:rPr>
          <w:b/>
        </w:rPr>
        <w:t>E. 2.2.2</w:t>
      </w:r>
    </w:p>
    <w:p>
      <w:r>
        <w:t>Das Strassenverkehrsamt erwägt, gemäss Art. 16d Abs. 1 SVG werde einer Person der Führerausweis auf unbestimmte Zeit entzogen, wenn die körperliche und geistige Leistungsfähigkeit nicht oder nicht mehr ausreiche, um ein Motorfahrzeug sicher zu führen (lit. a), oder wenn sie an einer Sucht (z.B. Medikamentenmissbrauch) leide, welche die Fahreignung ausschliesse (lit. b). Es bestünden ernsthafte Anzeichen dafür, dass der Beschwerdeführer diese Ausschlussgründe zurzeit erfülle. Das Strassenverkehrsamt spricht somit in der Mehrzahl von "diesen Ausschlussgründen". Damit meint es jene nach Art. 16d Abs. 1 lit. a und b SVG . Es stützt also den vorsorglichen Entzug nicht einzig auf eine mögliche Sucht (Medikamentenmissbrauch) des Beschwerdeführers. Vielmehr besteht nach dem Strassenverkehrsamt ebenso der Verdacht, dass die körperliche und geistige Leistungsfähigkeit des Beschwerdeführers zum sicheren Führen eines Motorfahrzeuges nicht bzw. nicht mehr genügt. Entsprechend hat die Vorinstanz keine völlig neue Begründung gegeben, wenn sie annimmt, es könne nicht ausgeschlossen werden, der Beschwerdeführer habe einen erneuten manischen Schub erlitten. Die Vorinstanz hat im Übrigen zusätzlich angenommen, es bestehe der Verdacht auf eine verkehrsrelevante Sucht. Angesichts dessen kann entgegen der Ansicht des Beschwerdeführers nicht gesagt werden, die Vorinstanz habe die Begründung "ausgewechselt". Die Rüge geht daher schon im Ansatz fehl. Im Übrigen musste dem Beschwerdeführer in Anbetracht seiner Vorgeschichte, der Umstände des Unfalles vom 7. Mai 2007 und seines Verhaltens und Zustandes danach (dazu unten E. 3.1.3) ohnehin klar sein, dass ein erneuter manischer Schub zur Diskussion stehen könnte. Damit konnte er mit dem entsprechenden Vorwurf auch nicht unerwartet konfrontiert werden. Die Beschwerde ist im vorliegenden Punkt daher unbehelflich.</w:t>
      </w:r>
    </w:p>
    <w:p>
      <w:r>
        <w:rPr>
          <w:b/>
        </w:rPr>
        <w:t>E. 3.1.1</w:t>
      </w:r>
    </w:p>
    <w:p>
      <w:r>
        <w:t>Der Beschwerdeführer rügt (S. 12 ff. ), der angefochtene Entscheid verletze das Willkürverbot. Er bringt vor, die Vorinstanz stütze ihre Begründung für ernsthafte Bedenken an seiner Fahreignung in erster Linie darauf, es sei nicht ausgeschlossen, dass er einen manischen Schub erlitten haben könnte. Diese Annahme sei willkürlich.</w:t>
      </w:r>
    </w:p>
    <w:p>
      <w:r>
        <w:rPr>
          <w:b/>
        </w:rPr>
        <w:t>E. 3.1.2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133 I 149 E. 3.1 S. 153 ; 132 I 13 E. 5.1 ; 127 I 54 E. 2b mit Hinweisen).</w:t>
      </w:r>
    </w:p>
    <w:p>
      <w:r>
        <w:rPr>
          <w:b/>
        </w:rPr>
        <w:t>E. 3.1.3</w:t>
      </w:r>
    </w:p>
    <w:p>
      <w:r>
        <w:t>Die Vorinstanz erwägt, im Gutachten des Psychiatriezentrums Münsingen vom 20. Dezember 2006 werde eine Trunksucht des Beschwerdeführers verneint, aber festgehalten, es müsse von einem langjährigen und phasenweisen, an manische Schübe gekoppelten verkehrsrelevanten Missbrauch ausgegangen werden; der Beschwerdeführer leide an einer bipolaren affektiven Störung mit bisher drei schweren manischen Schüben (1980, 1994 und 2003/2004). Die Vorinstanz verweist sodann auf die Umstände des Unfalles vom 7. Mai 2007 - der Beschwerdeführer prallte morgens um 11.00 Uhr ohne ersichtlichen Grund in ein korrekt am Fahrbahnrand parkiertes Fahrzeug - und schildert sein auffälliges Verhalten und seinen Zustand danach. Die Vorinstanz legt insbesondere dar, der Beschwerdeführer habe sein stark beschädigtes Fahrzeug an der Unfallstelle stehen lassen und sich entfernt. Gleichentags sei er um ca. 14.00 Uhr ohne Voranmeldung bei der UPD erschienen. Sein gesundheitlicher Zustand sei so schlecht gewesen (Überdosis Medikamente), dass er ins Inselspital überführt worden sei. Nach dem UPD-Aufnahmebefund vom 7. Mai 2007 sei die aktuelle Anamnese nicht zu erheben gewesen, da der Beschwerdeführer ein verwirrtes Zustandsbild gezeigt habe. Er habe eine verwaschene Sprache und Wortfindungsstörungen gezeigt. Eine halbe Stunde nach der Aufnahme sei es zu hypotonen Blutdruckwerten gekommen, weshalb eine notfallmässige Verlegung zur internistischen und neurologischen Abklärung erfolgt sei. Der Beschwerdeführer sei nunmehr zum sechsten Mal in dieser Klinik stationär aufgenommen worden. Zuletzt sei er am 26. März 2007 aus der Klinik ausgetreten. Die Diagnosen hätten damals gelautet: Bipolare affektive Störung, gegenwärtig manische Episode ohne psychotische Symptome sowie schädlicher Gebrauch von Alkohol. Die Vorinstanz kommt zum Schluss, im Lichte dessen, insbesondere des auffälligen Verhaltens des Beschwerdeführers am Tag des Unfalls vom 7. Mai 2007, könne nicht ausgeschlossen werden, dass er einen weiteren manischen Schub erlitten haben könnte. Die Vorinstanz stützt diese Auffassung - wie sich aus ihren Erwägungen ergibt - auf sachliche Gründe. Willkür ist damit zu verneinen. Die Beschwerde ist insoweit unbegründet.</w:t>
      </w:r>
    </w:p>
    <w:p>
      <w:r>
        <w:rPr>
          <w:b/>
        </w:rPr>
        <w:t>E. 3.2.1</w:t>
      </w:r>
    </w:p>
    <w:p>
      <w:r>
        <w:t>Der Beschwerdeführer wendet ein, die angefochtene Verfügung sei in sich widersprüchlich; sie sei auch deshalb willkürlich. Der innere Widerspruch sei dadurch entstanden, dass die Vorinstanz die Motive ausgetauscht habe, ohne das Dispositiv anzupassen. Die vollumfängliche Abweisung der Beschwerde durch die Vorinstanz bewirke, dass der Beschwerdeführer nach wie vor ein teures Gutachten einer Klinik für Suchttherapien einholen müsse, wenn er seinen Führerausweis zurück erhalten wolle. Diese Klinik sei zur Feststellung eines angeblich manischen Schubes aber von vornherein nicht geeignet. Wenn dem Beschwerdeführer der Ausweis schon wegen eines angeblichen manischen Schubes vorsorglich entzogen werde, dann müssten im Dispositiv der Verfügung auch Abklärungen angeordnet werden, die sich auf den Entzugsgrund beziehen. Aufgrund der angeordneten Untersuchung werde es dem Beschwerdeführer a priori nicht möglich sein, den Verdacht eines manischen Schubs zu entkräften. Möglicherweise liege ein Versehen vor und habe die Vorinstanz einfach "vergessen", das Dispositiv anzupassen, nachdem sie die Begründung ausgewechselt habe.</w:t>
      </w:r>
    </w:p>
    <w:p>
      <w:r>
        <w:rPr>
          <w:b/>
        </w:rPr>
        <w:t>E. 3.2.2</w:t>
      </w:r>
    </w:p>
    <w:p>
      <w:r>
        <w:t>Wie (E. 2.2.2) dargelegt, hat die Vorinstanz die Begründung nicht "ausgewechselt". Die Rüge geht daher schon im Ansatz fehl. Die Vorinstanz hat insbesondere - wie bereits das Strassenverkehrsamt - eine verkehrsrelevante Sucht ebenfalls als möglich erachtet, weshalb die Eignungsuntersuchung durch die Klinik für Suchttherapien "Südhang" weiterhin Sinn macht. Der angefochtene Entscheid ist daher auch insoweit nicht offensichtlich unhaltbar. Willkür ist erneut zu verneinen.</w:t>
      </w:r>
    </w:p>
    <w:p>
      <w:r>
        <w:rPr>
          <w:b/>
        </w:rPr>
        <w:t>E. 4.1</w:t>
      </w:r>
    </w:p>
    <w:p>
      <w:r>
        <w:t>Der Beschwerdeführer macht (S. 15 ff.) geltend, indem vorinstanzlich der Einzelrichter entschieden habe, sei sein Anspruch auf den gesetzlichen Richter nach Art. 30 Abs. 1 BV verletzt worden. Seine Beschwerde hätte von einem Richterkollegium beurteilt werden müssen.</w:t>
      </w:r>
    </w:p>
    <w:p>
      <w:r>
        <w:rPr>
          <w:b/>
        </w:rPr>
        <w:t>E. 4.2</w:t>
      </w:r>
    </w:p>
    <w:p>
      <w:r>
        <w:t>Gemäss Art. 30 Abs. 1 BV hat jede Person, deren Sache in einem gerichtlichen Verfahren beurteilt werden muss, Anspruch auf ein durch Gesetz geschaffenes, zuständiges, unabhängiges und unparteiisches Gericht. Diese Bestimmung, die den Gehalt von Art. 58 Abs. 1 aBV übernommen hat, gewährleistet insbesondere die Einhaltung der jeweils geltenden staatlichen Zuständigkeitsordnung ( BGE 117 Ia 190 E. 6a S. 191). Die Bundesverfassung schreibt den Kantonen keine bestimmte Gerichtsorganisation vor. Aus Art. 30 Abs. 1 BV ergeben sich indessen Minimalanforderungen. Diese Bestimmung verbietet Ausnahmegerichte und die Bestellung von ad hoc oder ad personam berufenen Richtern und verlangt damit - zum Zwecke der Verhinderung jeglicher Manipulation - eine durch Rechtssatz bestimmte Gerichts- und Verfahrensordnung ( BGE 114 Ia 50 E. 3b S. 53 f.). Der Rechtssatz kann in der Verfassung, in einem Gesetz oder einer Verordnung enthalten sein (Urteile C 67/1998 vom 8. August 2000 E. 1a; C 159/2000 vom 16. April 2002 E. 1b, mit Hinweisen). Wird eine Verletzung von Art. 30 Abs. 1 BV gerügt, prüft das Bundesgericht die Auslegung und Anwendung des kantonalen Gesetzesrechts nur unter dem Gesichtswinkel der Willkür. Mit freier Kognition beurteilt es dagegen, ob die als vertretbar erkannte Auslegung des kantonalen Rechts mit den Garantien von Art. 30 Abs. 1 BV vereinbar ist (vgl. BGE 126 I 68 E. 3b S. 73 ; 123 I 49 E. 2b S. 51, je mit Hinweisen).</w:t>
      </w:r>
    </w:p>
    <w:p>
      <w:r>
        <w:rPr>
          <w:b/>
        </w:rPr>
        <w:t>E. 4.3</w:t>
      </w:r>
    </w:p>
    <w:p>
      <w:r>
        <w:t>Gemäss Art. 3 des Berner kantonalen Strassenverkehrsgesetzes vom 27. März 2006 (KSVG; BSG 761.11) entscheidet eine verwaltungsunabhängige Rekurskommission über Beschwerden gegen Administrativmassnahmen, die gegenüber Fahrzeugführerinnen und Fahrzeugführern gestützt auf das Strassenverkehrsrecht des Bundes verfügt werden, soweit in der Bundesgesetzgebung eine verwaltungsunabhängige Rekursinstanz vorgesehen ist (Abs. 1). Die Rekurskommission setzt sich aus fünf Mitgliedern und fünf bis sieben Ersatzmitgliedern zusammen (Abs. 2). Gemäss Art. 6 KSVG erlässt die Rekurskommission zur Ordnung des internen Verfahrens und zur Umschreibung der Aufgaben ihrer Organe ein Geschäftsreglement. Verordnungen sind generell-abstrakte Rechtsnormen, die in einer anderen Form als derjenigen der Verfassung oder des Gesetzes ergangen sind, d.h. auf einer Stufe unterhalb des Gesetzes stehen, und keine autonomen Satzungen darstellen. Für den Begriff der Verordnung ist die erlassende Behörde nicht massgeblich. Verordnungen können auch Behörden der Justiz erlassen. Die Terminologie ist uneinheitlich. Man spricht unter anderem von Reglementen (Ulrich Häfelin/Georg Müller/Felix Uhlmann, Allgemeines Verwaltungsrecht, 5. Aufl., Zürich 2006, S. 23 N. 114 ff.). Beim Geschäftsreglement der Rekurskommission des Kantons Bern für Massnahmen gegenüber Fahrzeugführern vom 28. März 1990 handelt es sich somit um eine Verordnung. Gemäss Art. 5 Abs. 1 des Reglements entscheidet der Einzelrichter auf Begehren des Beschwerdeführers oder von Amtes wegen sofort über den Erlass vorsorglicher Massnahmen. Der Präsident der Rekurskommission stützt seine Zuständigkeit im vorliegenden Fall auf diese Bestimmung (Vernehmlassung S. 7 Ziff. 5). Wie gesagt, handelt es sich beim vorsorglichen Führerausweisentzug um eine vorsorgliche Massnahme. Es ist deshalb nicht offensichtlich unhaltbar, wenn sich der Präsident der Rekurskommission gestützt auf Art. 5 Abs. 1 des Reglements als zum Entscheid zuständig erachtet hat. Seine Zuständigkeit ist durch Rechtssatz bestimmt. Zur Beurteilung der kantonalen Beschwerde des Beschwerdeführers wurde somit keine Behörde ad hoc oder ad personam bestellt. Eine Verletzung von Art. 30 Abs. 1 BV ist daher zu verneinen. Die Beschwerde ist auch in diesem Punkt unbegründet.</w:t>
      </w:r>
    </w:p>
    <w:p>
      <w:r>
        <w:rPr>
          <w:b/>
        </w:rPr>
        <w:t>E. 5</w:t>
      </w:r>
    </w:p>
    <w:p>
      <w:r>
        <w:t>Nach dem Gesagten ist die Beschwerde, soweit darauf eingetreten werden kann, teilweise gutzuheissen. Bei der Bemessung der Parteientschädigung im kantonalen Verfahren handelt es sich um eine ausgesprochene Ermessensfrage. Die Sache wird deshalb an die Vorinstanz zurückgewiesen, damit sie von der Erhebung einer Gerichtsgebühr absehe und dem Beschwerdeführer eine Parteientschädigung zuspreche ( Art. 107 Abs. 2 Satz 1 BGG ). Der Beschwerdeführer unterliegt überwiegend. Insoweit trägt er die Kosten ( Art. 66 Abs. 1 Satz 1 BGG ). Umgekehrt hat ihm der Kanton Bern für das teilweise Obsiegen im bundesgerichtlichen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