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232/2021 vom 3. Juni 2021</w:t>
      </w:r>
    </w:p>
    <w:p>
      <w:r>
        <w:t>Bundesgericht, 2021-06-03, DE</w:t>
      </w:r>
    </w:p>
    <w:p>
      <w:r>
        <w:rPr>
          <w:b/>
        </w:rPr>
        <w:t xml:space="preserve">Quelle: </w:t>
      </w:r>
      <w:r>
        <w:t>https://mcp.opencaselaw.ch/entscheid/bger_1C_232_2021</w:t>
      </w:r>
    </w:p>
    <w:p>
      <w:r>
        <w:t>FR: TF 1C 232/2021 du 3 juin 2021</w:t>
      </w:r>
    </w:p>
    <w:p>
      <w:r>
        <w:t>IT: TF 1C 232/2021 del 3 giugno 2021</w:t>
      </w:r>
    </w:p>
    <w:p>
      <w:pPr>
        <w:pStyle w:val="Heading2"/>
      </w:pPr>
      <w:r>
        <w:t>Regeste</w:t>
      </w:r>
    </w:p>
    <w:p>
      <w:r>
        <w:t>Ermächtigung | Strafprozess</w:t>
      </w:r>
    </w:p>
    <w:p>
      <w:pPr>
        <w:pStyle w:val="Heading2"/>
      </w:pPr>
      <w:r>
        <w:t>Erwägungen</w:t>
      </w:r>
    </w:p>
    <w:p>
      <w:r>
        <w:rPr>
          <w:b/>
        </w:rPr>
        <w:t>E. 1</w:t>
      </w:r>
    </w:p>
    <w:p>
      <w:r>
        <w:t>Am 10. Dezember 2020 erstattete A.________ bei der Staatsanwaltschaft Winterthur/Unterland Strafanzeige gegen die Präsidentin der Kreisschulpflege Stadt-Töss, B.________, die Schulleiterin des Schulhauses Tössfeld, C.________, und die dort tätige Lehrerin D.________ wegen Ehrverletzung, Nötigung und Amtsmissbrauchs. Sie sollen bei der Beschulung ihres an einer Aufmerksamkeits-Defizit-Hyperaktivitäts-Störung (ADHS) und einem Geburtsgebrechen leidenden Sohnes E.________ seit dem Eintritt in das 2. Kindergartenjahr schwere Fehler begangen - insbesondere die schulpsychologische Abklärung zu spät angeordnet - und sie als alleinerziehende Mutter gedemütigt, persönlich verletzt und genötigt haben. Am 18. Dezember 2020 überwies die Staatsanwaltschaft die Akten ans Obergericht des Kantons Zürich mit dem Antrag, über die Erteilung bzw. Nichterteilung der Ermächtigung zur Durchführung einer Strafuntersuchung zu entscheiden. Mit Beschluss vom 23. März 2021 erteilte das Obergericht der Staatsanwaltschaft die Ermächtigung zur Eröffnung eines Strafverfahrens gegen B.________, C.________ und D.________ nicht. 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Schulpflegepräsidentin, der Schulleiterin und der Lehrerin, alle drei Beamtinnen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Hintergrund der Strafanzeige bildet nach der unwiderlegten Darstellung des Obergerichts im angefochtenen Entscheid (E. 7.1 S. 5) ein Konflikt der Beschwerdeführerin mit den Lehrerinnen und den Schulbehörden über die Wahl, Anordnung und Umsetzung der für die Beschulung ihres Sohnes erforderlichen sonderpädagogischen Massnahmen. Sie ist mit dem Vorgehen der Schule nicht einverstanden, fühlt sich nicht ernst genommen und als (ebenfalls an ADHS leidende) Mutter diskreditiert; anstatt geeignete Massnahmen für E.________ zu treffen, habe man einfach eine Gefährdungsmeldung an die KESB geschickt und die Ausfällung einer Busse wegen Verletzung der Elternpflichten beantragt. Das Obergericht hat dazu nach einer zutreffenden Darstellung der von der Beschwerdeführerin angerufenen Straftatbestände (E. 6.1 - 6.3 S. 3 ff.) erwogen, es bestünden keine Verdachtsgründe für ein strafrechtlich relevantes Verhalten der Beschwerdegegnerinnen, die die Eröffnung eines Strafverfahrens rechtfertigen könnten. Die unterschiedlichen Auffassungen der Beschwerdeführerin einerseits und der Beschwerdegegnerinnen anderseits über die Art und Weise der Beschulung von E.________ bzw. die zu seinen Gunsten zu ergreifenden sonderpädagogischen Massnahmen seien auf dem dafür vorgesehenen verwaltungsrechtlichen Weg zu klären oder allenfalls durch die Ergreifung der entsprechenden Rechtsmittel überprüfen zu lassen (E. 7.1 - 7.3 S. 5 ff.). Die Beschwerdeführerin setzt sich mit diesen (zutreffenden) Ausführungen des Obergerichts nicht sachgerecht auseinander, sondern bringt, soweit nachvollziehbar, wiederum bloss vor, dass die Beschwerdegegnerinnen bei der Betreuung von E.________ schwerwiegende Fehler begangen und sie, indem sie ihre diesbezüglichen Wünsche und Anregungen nicht oder jedenfalls nur teilweise berücksichtigten, diskriminiert hätten. Selbst wenn den Beschwerdegegnerinnen bei der Beschulung und Betreuung von E.________ und dem Einbezug seiner Mutter fachliche Fehler unterlaufen sein sollten - wofür sich ausser der subjektiven Darstellung der Beschwerdeführerin in den Akten prima vista keine konkreten Anhaltspunkte finden - läge darin kein strafbares Verhalten. Die Beschwerdeführerin bringt damit nichts vor, was geeignet wäre, die offensichtlich zutreffende Einschätzung des Obergerichts, die in der Strafanzeige erhobenen Vorwürfe seien von vornherein nicht geeignet, einen Anfangsverdacht für ein strafbares Verhalten der Beschwerdegegnerinnen zu begründen, in Frage zu stellen. Verspätet und damit unbeachtlich bleibt die am 14. Mai 2021 eingereichte Beschwerdeergänzung vom 13. Mai 2021. 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