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1C_232/2012 vom 15. März 2012</w:t>
      </w:r>
    </w:p>
    <w:p>
      <w:r>
        <w:t>Bundesgericht, 2012-03-15, DE</w:t>
      </w:r>
    </w:p>
    <w:p>
      <w:r>
        <w:rPr>
          <w:b/>
        </w:rPr>
        <w:t xml:space="preserve">Quelle: </w:t>
      </w:r>
      <w:r>
        <w:t>https://mcp.opencaselaw.ch/entscheid/bger_1C_232_2012</w:t>
      </w:r>
    </w:p>
    <w:p>
      <w:r>
        <w:t>FR: TF 1C_232/2012 du 15 mars 2012</w:t>
      </w:r>
    </w:p>
    <w:p>
      <w:r>
        <w:t>IT: TF 1C_232/2012 del 15 marzo 2012</w:t>
      </w:r>
    </w:p>
    <w:p>
      <w:pPr>
        <w:pStyle w:val="Heading2"/>
      </w:pPr>
      <w:r>
        <w:t>Erwägungen</w:t>
      </w:r>
    </w:p>
    <w:p>
      <w:r>
        <w:rPr>
          <w:b/>
        </w:rPr>
        <w:t>E. 1</w:t>
      </w:r>
    </w:p>
    <w:p>
      <w:r>
        <w:t>Mit dem angefochtenen Urteil hat das Bundesverwaltungsgericht eine Beschwerde gegen die Nichtigerklärung einer erleichterten Einbürgerung abgewiesen. Angefochten ist somit ein Endentscheid des Bundesverwaltungsgerichts in einer öffentlich-rechtlichen Angelegenheit ( Art. 82 lit. a, Art. 86 Abs. 1 lit. a und Art. 90 BGG ). Die Ausnahme der ordentlichen Einbürgerung gemäss Art. 83 lit. b BGG erstreckt sich nicht auf die Nichtigerklärung der erleichterten Einbürgerung. Der Beschwerdeführer ist nach Art. 89 Abs. 1 BGG zur Beschwerde legitimiert. Die übrigen Sachurteilsvoraussetzungen geben zu keinen Bemerkungen Anlass. Auf die Beschwerde ist einzutreten.</w:t>
      </w:r>
    </w:p>
    <w:p>
      <w:r>
        <w:rPr>
          <w:b/>
        </w:rPr>
        <w:t>E. 2</w:t>
      </w:r>
    </w:p>
    <w:p>
      <w:r>
        <w:t>Der Beschwerdeführer macht geltend, die Vorinstanz und das BFM hätten es unterlassen, seine Stieftochter und weitere Personen zu befragen und damit Art. 29 BV verletzt.</w:t>
      </w:r>
    </w:p>
    <w:p>
      <w:r>
        <w:rPr>
          <w:b/>
        </w:rPr>
        <w:t>E. 2.1</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134 I 140 E. 5.3 S. 148 mit Hinweisen).</w:t>
      </w:r>
    </w:p>
    <w:p>
      <w:r>
        <w:rPr>
          <w:b/>
        </w:rPr>
        <w:t>E. 2.2</w:t>
      </w:r>
    </w:p>
    <w:p>
      <w:r>
        <w:t>Dem angefochtenen Entscheid bzw. den Akten ist zu entnehmen, dass das BFM im Verfahren auf Nichtigerklärung der erleichterten Einbürgerung Einsicht in die Eheschutz- und Ehescheidungsakten nahm, der früheren Ehefrau des Beschwerdeführers mehrmals schriftliche Fragen zum gemeinsamen Kennenlernen, zum Verlauf der Ehe und zu den Umständen der Trennung und Ehescheidung stellte, die Schwiegermutter des Beschwerdeführers schriftlich befragte und dem Beschwerdeführer mehrmals Gelegenheit gab, sich zum Sachverhalt zu äussern. Nicht gefolgt ist das BFM den Anträgen des Beschwerdeführers, es seien darüber hinaus seine Stieftochter sowie zwei Personen aus dem Freundeskreis zu befragen.</w:t>
      </w:r>
    </w:p>
    <w:p>
      <w:r>
        <w:rPr>
          <w:b/>
        </w:rPr>
        <w:t>E. 2.3</w:t>
      </w:r>
    </w:p>
    <w:p>
      <w:r>
        <w:t>Wie die Vorinstanz im angefochtenen Entscheid zu Recht festgehalten hat, ist nicht ersichtlich, inwiefern das Einholen weiterer schriftlicher oder mündlicher Auskünfte durch das BFM zusätzliche entscheidwesentliche Erkenntnisse hätte liefern können. Das BFM ist nicht in Willkür verfallen, wenn es angenommen hat, angesichts der vorhandenen Akten erübrige sich das Einholen weiterer Auskünfte, da seine Überzeugung durch weitere Beweiserhebungen nicht geändert würde. Vor der Vorinstanz hat der Beschwerdeführer nicht (mehr) ausdrücklich beantragt, es seien weitere Auskünfte einzuholen. Darauf konnte die Vorinstanz nach dem Gesagten verzichten, ohne Art. 29 Abs. 2 BV zu verletzten.</w:t>
      </w:r>
    </w:p>
    <w:p>
      <w:r>
        <w:rPr>
          <w:b/>
        </w:rPr>
        <w:t>E. 3</w:t>
      </w:r>
    </w:p>
    <w:p>
      <w:r>
        <w:t>Der Beschwerdeführer bringt weiter vor, die Vorinstanz habe wie schon das BFM den entscheidwesentlichen Sachverhalt in willkürlicher Weise unrichtig bzw. unvollständig ermittelt. Zu wenig berücksichtigt worden sei die Stellungnahme der ehemaligen Schwiegermutter des Beschwerdeführers an das BFM. Überdies sei die Vorinstanz den in seiner Beschwerde gemachten Hinweisen zu wenig gefolgt. Damit habe sie seine verfassungsmässig gesicherten Verfahrensgarantien verletzt.</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3.2</w:t>
      </w:r>
    </w:p>
    <w:p>
      <w:r>
        <w:t>Der Beschwerdeführer schildert den Sachverhalt aus eigener Sicht. Er legt allerdings nicht substanziiert dar, inwiefern die vorinstanzliche Sachverhaltsdarstellung offensichtlich unrichtig bzw. willkürlich sein sollte. Die Vorinstanz hat die Stellungnahme der ehemaligen Schwiegermutter des Beschwerdeführers an das BFM für ihren Entscheid in genügender Weise berücksichtigt, indem sie festhielt, die Stellungnahme stehe nicht im Widerspruch zu den Aussagen der ehemaligen Ehefrau des Beschwerdeführers, zumal darin keinerlei Angaben zum Eheleben des Beschwerdeführers als solchem gemacht würden, das Verhalten der ehemaligen Ehefrau im Gegensatz zur Behauptung des Beschwerdeführers nicht als unsinnig oder unwahr bezeichnet werde und es auch nicht darum gehe, welcher Ehegatte für die Auflösung der Ehe die Hauptverantwortung trage, sondern darum, ob auf Seiten beider Partner ein authentischer Ehewille vorliege. Inwiefern die Vorinstanz in diesem Zusammenhang Art. 9 BV oder sonst Bundesrecht verletzt haben sollte, ist nicht ersichtlich. Wie bereits ausgeführt, ist es auch nicht willkürlich, dass die Vorinstanz keine weiteren Auskünfte eingeholt hat (vgl. E. 2 hiervor). In tatsächlicher Hinsicht ist somit auf die Feststellungen der Vorinstanz abzustellen.</w:t>
      </w:r>
    </w:p>
    <w:p>
      <w:r>
        <w:rPr>
          <w:b/>
        </w:rPr>
        <w:t>E. 3.3</w:t>
      </w:r>
    </w:p>
    <w:p>
      <w:r>
        <w:t>Soweit der Beschwerdeführer sodann (sinngemäss) rügt, die Vorinstanz habe die aus Art. 29 Abs. 2 BV fliessende Begründungspflicht verletzt, indem sie den in seiner Beschwerde gemachten Hinweisen zu wenig gefolgt sei, vermag er damit ebenfalls nicht durchzudringen. Die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 133 I 270 E. 3.1 S. 277; je mit Hinweisen). Diesen Anforderungen genügt der vorinstanzliche Entscheid.</w:t>
      </w:r>
    </w:p>
    <w:p>
      <w:r>
        <w:rPr>
          <w:b/>
        </w:rPr>
        <w:t>E. 4.1</w:t>
      </w:r>
    </w:p>
    <w:p>
      <w:r>
        <w:t>Gemäss Art. 27 Abs. 1 des Bürgerrechtsgesetzes vom 29. September 1952 (BüG; SR 141.0) kann ein Ausländer nach der Eheschliessung mit einem Schweizer Bürger ein Gesuch um erleichterte Einbürgerung stellen, wenn er insgesamt fünf Jahre in der Schweiz gewohnt hat (lit. a), seit einem Jahr hier wohnt (lit. b) und seit drei Jahren in ehelicher Gemeinschaft mit dem Schweizer Bürger lebt (lit. c). Eine eheliche Gemeinschaft im Sinne von Art. 27 BüG setzt nicht nur das formelle Bestehen einer Ehe, sondern das Vorliegen einer tatsächlichen Lebensgemeinschaft voraus. Eine solche Gemeinschaft kann nur bejaht werden, wenn der gemeinsame Wille zu einer stabilen ehelichen Gemeinschaft intakt ist. Sowohl im Zeitpunkt der Gesuchseinreichung als auch im Zeitpunkt des Einbürgerungsentscheids muss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eines Schweizer Bürgers die erleichterte Einbürgerung ermöglichen, um die Einheit des Bürgerrechts der Ehegatten im Hinblick auf ihre gemeinsame Zukunft zu fördern ( BGE 135 II 161 E. 2 S. 164 f. mit Hinweisen).</w:t>
      </w:r>
    </w:p>
    <w:p>
      <w:r>
        <w:rPr>
          <w:b/>
        </w:rPr>
        <w:t>E. 4.2</w:t>
      </w:r>
    </w:p>
    <w:p>
      <w:r>
        <w:t>Nach Art. 41 Abs. 1 BüG in der bis Ende Februar 2011 und damit vorliegend anwendbaren Fassung (aArt.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für die Nichtigerklärung einer Einbürgerung. Vorausgesetzt ist vielmehr,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mit Hinweisen).</w:t>
      </w:r>
    </w:p>
    <w:p>
      <w:r>
        <w:rPr>
          <w:b/>
        </w:rPr>
        <w:t>E. 4.3</w:t>
      </w:r>
    </w:p>
    <w:p>
      <w:r>
        <w:t>Das Verfahren zur Nichtigerklärung der erleichterten Einbürgerung richtet sich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Der Betroffene ist bei der Sachverhaltsabklärung mitwirkungspflichtig ( BGE 135 II 161 E. 3 S. 165 f. mit Hinweisen).</w:t>
      </w:r>
    </w:p>
    <w:p>
      <w:r>
        <w:rPr>
          <w:b/>
        </w:rPr>
        <w:t>E. 4.4</w:t>
      </w:r>
    </w:p>
    <w:p>
      <w:r>
        <w:t>Die tatsächliche Vermutung betrifft die Beweiswürdigung und bewirkt keine Umkehrung der Beweislast. Der Betroffene muss nicht den Beweis des Gegenteils erbringen. Vielmehr genügt der Nachweis von Zweifeln an der Richtigkeit der Indizien und der daraus gezogenen Schlussfolgerung. Dem Gesagten zufolge liegt die Beweislast dafür, dass eine eheliche Gemeinschaft im Sinn von Art. 27 BüG im massgeblichen Zeitpunkt der Gesuchseinreichung und der Einbürgerung nicht oder nicht mehr besteht, bei der Verwaltung. Es genügt deshalb, dass der Betroffene einen oder mehrere Gründe angibt, die es plausibel erscheinen lassen, dass er im Zeitpunkt seiner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dem Schweizer Ehepartner auch weiterhin in einer stabilen ehelichen Gemeinschaft zu leben ( BGE 135 II 161 E. 3 S. 166 mit Hinweisen).</w:t>
      </w:r>
    </w:p>
    <w:p>
      <w:r>
        <w:rPr>
          <w:b/>
        </w:rPr>
        <w:t>E. 5</w:t>
      </w:r>
    </w:p>
    <w:p>
      <w:r>
        <w:t>Zu prüfen ist, ob der Beschwerdeführer im Zeitpunkt der erleichterten Einbürgerung einen intakten Ehewillen besass und ob er auf das Fortbestehen einer stabilen ehelichen Gemeinschaft vertrauen durfte.</w:t>
      </w:r>
    </w:p>
    <w:p>
      <w:r>
        <w:rPr>
          <w:b/>
        </w:rPr>
        <w:t>E. 5.1</w:t>
      </w:r>
    </w:p>
    <w:p>
      <w:r>
        <w:t>Lediglich dreizehn Monate nach der erleichterten Einbürgerung des Beschwerdeführers leitete seine ehemalige Ehefrau ein Eheschutzverfahren ein und nach weniger als sechzehn Monaten seit der erleichterten Einbürgerung wurde den Ehegatten vom zuständigen Bezirksgericht das Getrenntleben bewilligt. Hinzu kommt, dass die ehemaligen Ehegatten während des Einbürgerungsverfahrens unbestrittenerweise eine heftige Auseinandersetzung hatten, die dazu führte, dass die ehemalige Ehefrau des Beschwerdeführers der kantonalen Einbürgerungsbehörde mitteilte, ihr Ehemann setze sie bezüglich seiner Einbürgerung unter Druck. Unter diesen Umständen hat die Vorinstanz zu Recht vermutet, dass der Beschwerdeführer im Zeitpunkt der erleichterten Einbürgerung keinen intakten Ehewillen besass und auf das Fortbestehen einer stabilen ehelichen Gemeinschaft nicht vertrauen durfte. An dieser Einschätzung würde sich auch nichts ändern, wenn der Beschwerdeführer und seine ehemalige Ehefrau kurz nach der erleichterten Einbürgerung tatsächlich noch eine zuvor geplante gemeinsame Reise an den Gardasee angetreten hätten, wie der Beschwerdeführer vorbringt.</w:t>
      </w:r>
    </w:p>
    <w:p>
      <w:r>
        <w:t>Soweit die Vorinstanz aufgrund einer ausführlichen Würdigung der Schilderungen des Beschwerdeführers und insbesondere der ehemaligen Ehefrau gegenüber dem BFM (angefochtener Entscheid, E. 8.2 ff.) zum Schluss kam, dass das Zusammenleben der Ehegatten schon während des Einbürgerungsverfahrens problembehaftet und schwerwiegenden Belastungen ausgesetzt gewesen sein musste, handelt es sich dabei nicht um Erkenntnisse, ohne die an der Vermutung, wonach der Beschwerdeführer im Zeitpunkt der erleichterten Einbürgerung keinen intakten Ehewillen besass und auf das Fortbestehen einer stabilen ehelichen Gemeinschaft nicht vertrauen durfte, nicht festgehalten werden könnte. Demnach ist der Einwand des Beschwerdeführers, die Schilderungen seiner ehemaligen Ehefrau seien unzutreffend, von vornherein nicht geeignet, diese Vermutung umzustossen.</w:t>
      </w:r>
    </w:p>
    <w:p>
      <w:r>
        <w:rPr>
          <w:b/>
        </w:rPr>
        <w:t>E. 5.2</w:t>
      </w:r>
    </w:p>
    <w:p>
      <w:r>
        <w:t>Unter diesen Umständen wäre es Sache des Beschwerdeführers, plausibel darzulegen, dass ein ausserordentliches, nach der erleichterten Einbürgerung eingetretenes Ereignis zum raschen Scheitern der Ehe führte, dass er sich der bestehenden Eheprobleme im Zeitpunkt der Einbürgerung nicht bewusst war oder dass andere Gründe vorliegen, welche die Vermutungsfolge umzustossen vermögen (vgl. E. 4.4 hiervor).</w:t>
      </w:r>
    </w:p>
    <w:p>
      <w:r>
        <w:t>Solche plausiblen Gründe werden vom Beschwerdeführer wie schon im vorinstanzlichen Verfahren nicht genannt und sind auch nicht ersichtlich. Insbesondere genügt es nicht, wenn der Beschwerdeführer vorbringt, die Schilderungen seiner ehemaligen Ehefrau zum gemeinsamen Kennenlernen, zum Verlauf der Ehe und zu den Umständen der Trennung und Ehescheidung seien unzutreffend, in der Ehe hätte es Meinungsverschiedenheiten gegeben, seine ehemalige Ehefrau sei offensichtlich emotional belastet gewesen und sie habe ihm gedroht, dafür zu sorgen, dass ihm der Schweizerpass weggenommen werde.</w:t>
      </w:r>
    </w:p>
    <w:p>
      <w:r>
        <w:rPr>
          <w:b/>
        </w:rPr>
        <w:t>E. 5.3</w:t>
      </w:r>
    </w:p>
    <w:p>
      <w:r>
        <w:t>Zusammenfassend musste die Vorinstanz annehmen, dass der Beschwerdeführer im Zeitpunkt der erleichterten Einbürgerung keinen intakten Ehewillen besass und auf das Fortbestehen einer stabilen ehelichen Gemeinschaft nicht vertrauen durfte. Folglich kam sie zu Recht zum Schluss, der Beschwerdeführer habe die erleichterte Einbürgerung im Sinne von aArt. 41 Abs. 1 BüG durch falsche Angaben oder das Verheimlichen von erheblichen Tatsachen erschlichen.</w:t>
      </w:r>
    </w:p>
    <w:p>
      <w:r>
        <w:rPr>
          <w:b/>
        </w:rPr>
        <w:t>E. 6</w:t>
      </w:r>
    </w:p>
    <w:p>
      <w:r>
        <w:t>Die Beschwerde ist somit abzuweisen. Bei diesem Ausgang des Verfahrens wird der Beschwerdeführer grundsätzlich kostenpflichtig (vgl. Art. 66 Abs. 1 BGG ).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