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1C_231/2024 vom 22. Mai 2024</w:t>
      </w:r>
    </w:p>
    <w:p>
      <w:r>
        <w:t>Bundesgericht, 2024-05-22, DE</w:t>
      </w:r>
    </w:p>
    <w:p>
      <w:r>
        <w:rPr>
          <w:b/>
        </w:rPr>
        <w:t xml:space="preserve">Quelle: </w:t>
      </w:r>
      <w:r>
        <w:t>https://mcp.opencaselaw.ch/entscheid/bger_1C_231_2024</w:t>
      </w:r>
    </w:p>
    <w:p>
      <w:r>
        <w:t>FR: TF 1C_231/2024 du 22 mai 2024</w:t>
      </w:r>
    </w:p>
    <w:p>
      <w:r>
        <w:t>IT: TF 1C_231/2024 del 22 maggio 2024</w:t>
      </w:r>
    </w:p>
    <w:p>
      <w:pPr>
        <w:pStyle w:val="Heading2"/>
      </w:pPr>
      <w:r>
        <w:t>Erwägungen</w:t>
      </w:r>
    </w:p>
    <w:p>
      <w:r>
        <w:rPr>
          <w:b/>
        </w:rPr>
        <w:t>E. 1</w:t>
      </w:r>
    </w:p>
    <w:p>
      <w:r>
        <w:t>Am 14. Februar 2024 ordnete die Stadtpolizei Winterthur in Anwendung des Gewaltschutzgesetzes vom 19. Juni 2006 des Kantons Zürich (GSG/ZH; LS 351) gegenüber A.________ ein Rayonverbot von 14 Tagen betreffend den Wohnort von B.________ an und verbot ihm für dieselbe Dauer, Kontakt zu dieser und deren Sohn C.________ aufzunehmen. Am 22. Februar 2024 verlängerte das Zwangsmassnahmengericht am Bezirksgericht Winterthur auf Gesuch von B.________ hin die Schutzmassnahmen vorläufig (mithin ohne vorgängige Anhörung der Parteien) bis zum 28. Mai 2024, wobei es Treffen im Rahmen gerichtlicher Verhandlungen oder Verhandlungen anderer Behörden, zu denen die Parteien vorgeladen würden, vom Kontaktverbot ausnahm. Gegen diesen Entscheid erhob A.________ Einsprache. Mit Urteil vom 12. März 2024 verlängerte das Zwangsmassnahmengericht die Schutzmassnahmen definitiv bis zum 28. Mai 2024.</w:t>
      </w:r>
    </w:p>
    <w:p>
      <w:r>
        <w:rPr>
          <w:b/>
        </w:rPr>
        <w:t>E. 2</w:t>
      </w:r>
    </w:p>
    <w:p>
      <w:r>
        <w:t>Gegen den Entscheid des Zwangsmassnahmengerichts gelangte A.________ an das Verwaltungsgericht des Kantons Zürich. Mit Urteil vom 10. April 2024 wies das Gericht die Beschwerde ab und auferlegte A.________ die Kosten für das verwaltungsgerichtliche Verfahren.</w:t>
      </w:r>
    </w:p>
    <w:p>
      <w:r>
        <w:rPr>
          <w:b/>
        </w:rPr>
        <w:t>E. 3</w:t>
      </w:r>
    </w:p>
    <w:p>
      <w:r>
        <w:t>Mit Eingabe vom 15. April 2024 erhebt A.________ beim Bundesgericht Beschwerde in öffentlich-rechtlichen Angelegenheiten gegen das Urteil des Verwaltungsgerichts vom 10. April 2024.</w:t>
      </w:r>
    </w:p>
    <w:p>
      <w:r>
        <w:t>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in Auseinandersetzung mit den Vorbringen des Beschwerdeführers einlässlich begründet, wieso die Verlängerung der umstrittenen Schutzmassnahmen bis zum 28. Mai 2024 gerechtfertigt und verhältnismässig sei. Sie hat im Rahmen ihrer Erwägungen namentlich festgehalten, der Beschwerdeführer mache nicht substanziiert geltend, inwiefern er durch die Schutzmassnahmen beeinträchtigt wäre. Soweit er sich auf eine nach seiner Haftentlassung stattfindende Testamenteröffnung und auf ein ihm bezüglich der Nachbarliegenschaft der Beschwerdegegnerin angeblich zukommendes Nutzungsrecht berufe, sei auf die Anmerkung des Zwangsmassnahmengerichts hinzuweisen, wonach allfällige Nutzungsrechte der Verlängerung der Schutzmassnahmen nicht entgegenstünden. Solche Nutzungsrechte berechtigten den Beschwerdeführer auch nicht, das Grundstück der Beschwerdegegnerin zu betreten. Dass er derzeit inhaftiert sei, tangiere im Übrigen die unabhängig von strafprozessualen Zwangsmassnahmen bestehenden Gewaltschutzmassnahmen nicht.</w:t>
      </w:r>
    </w:p>
    <w:p>
      <w:r>
        <w:t>Der Beschwerdeführer erwähnt vor Bundesgericht erneut die Testamenteröffnung, die noch nicht stattgefunden habe, und sein ihm an der Nachbarliegenschaft der Beschwerdegegnerin angeblich zukommendes Nutzungsrecht; ebenso weist er darauf hin, dass er sich derzeit in Untersuchungshaft befinde. Er stellt im Weiteren in Abrede, dass er eine Gefahr für die Beschwerdegegnerin sei, und beteuert, in Zukunft werde nichts "passieren". Er setzt sich mit den Erwägungen im angefochtenen Urteil jedoch nicht ansatzweise auseinander und legt nicht und schon gar nicht konkret und im Einzelnen dar, inwiefern die Begründung der Vorinstanz bzw. deren Entscheid selbst Recht im Sinne von Art. 42 Abs. 2 BGG verletzen soll. Damit genügt seine Beschwerde den Begründungsanforderungen offensichtlich nicht, weshalb im vereinfachten Verfahren nach Art. 108 Abs. 1 BGG nicht auf sie einzutreten ist.</w:t>
      </w:r>
    </w:p>
    <w:p>
      <w:r>
        <w:rPr>
          <w:b/>
        </w:rPr>
        <w:t>E. 5</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