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1C_230/2010 vom 7. Dezember 2010</w:t>
      </w:r>
    </w:p>
    <w:p>
      <w:r>
        <w:t>Bundesgericht, 2010-12-07, DE</w:t>
      </w:r>
    </w:p>
    <w:p>
      <w:r>
        <w:rPr>
          <w:b/>
        </w:rPr>
        <w:t xml:space="preserve">Quelle: </w:t>
      </w:r>
      <w:r>
        <w:t>https://mcp.opencaselaw.ch/entscheid/bger_1C_230_2010</w:t>
      </w:r>
    </w:p>
    <w:p>
      <w:r>
        <w:t>FR: TF 1C_230/2010 du 7 décembre 2010</w:t>
      </w:r>
    </w:p>
    <w:p>
      <w:r>
        <w:t>IT: TF 1C_230/2010 del 7 dicembre 2010</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w:t>
      </w:r>
    </w:p>
    <w:p>
      <w:r>
        <w:rPr>
          <w:b/>
        </w:rPr>
        <w:t>E. 1.2</w:t>
      </w:r>
    </w:p>
    <w:p>
      <w:r>
        <w:t>Im angefochtenen Urteil des Verwaltungsgerichts wird der Entscheid des DBU bestätigt, wonach die Angelegenheit an die Politische Gemeinde Roggwil zurückgewiesen wird, damit diese die beantragte Baubewilligung erteile. Das kantonale Verfahren ist somit noch nicht abgeschlossen. Zudem kann angesichts der Möglichkeit des Erlasses von Nebenbestimmungen nicht gesagt werden, der Gemeinde verbleibe keinerlei Entscheidungsspielraum mehr, was gemäss der Rechtsprechung ausnahmsweise die Gleichstellung mit einem Endentscheid ( Art. 90 BGG ) zur Folge hätte ( BGE 134 II 124 E. 1.3 S. 127; zur Publikation vorgesehenes Urteil 1C_66/2010 vom 6. September 2010 E. 1.3; je mit Hinweisen). Es liegt ein selbstständig eröffneter Zwischenentscheid im Sinne von Art. 93 Abs. 1 BGG vor.</w:t>
      </w:r>
    </w:p>
    <w:p>
      <w:r>
        <w:t>Zwischenentscheide im Sinne dieser Bestimmung können selbstständig angefochten werden, wenn sie einen nicht wieder gutzumachenden Nachteil bewirken (lit. a) oder wenn die Gutheissung der Beschwerde sofort einen Endentscheid herbeiführen und damit einen bedeutenden Aufwand an Zeit oder Kosten für ein weitläufiges Beweisverfahren ersparen würde (lit. b).</w:t>
      </w:r>
    </w:p>
    <w:p>
      <w:r>
        <w:t>Die selbstständige Anfechtbarkeit von Zwischenentscheiden bildet aus prozessökonomischen Gründen eine Ausnahme vom Grundsatz, dass sich das Bundesgericht mit jeder Angelegenheit nur einmal befassen soll. Die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135 I 261 E. 1.2 S. 263; 134 III 188 E. 2.2 S. 191; je mit Hinweisen; vgl. indessen auch BGE 136 II 165 E. 1.2 S. 170 f. mit Hinweisen). Es obliegt den Beschwerdeführern detailliert darzutun, dass die Eintretensvoraussetzungen von Art. 93 BGG erfüllt sind, soweit deren Vorliegen nicht offensichtlich ist (vgl. dazu BGE 134 III 426 E. 1.2 S. 429; 133 III 629 E. 2.3.1 und 2.4.2 S. 632 f.; Urteil 4A_48/2010 vom 9. Juli 2010 E. 1.3.2; je mit Hinweisen).</w:t>
      </w:r>
    </w:p>
    <w:p>
      <w:r>
        <w:t>In Bezug auf die Frage der Anfechtbarkeit scheint im Wesentlichen die gleiche Situation vorzuliegen wie im bereits erwähnten Urteil 1C_200/2008 vom 28. November 2008. Es läge deshalb an den Beschwerdeführern aufzuzeigen, weshalb heute im Unterschied zu damals die Voraussetzungen von Art. 93 Abs. 1 BGG erfüllt sind. Dies tun sie jedoch nicht. Vielmehr führen sie in ihrer Replik vom 2. November 2010 aus, das Baubewilligungsverfahren sei weiterhin hängig und allfällige Nachteile könnten auch noch mit einer bundesgerichtlichen Beurteilung des Endentscheids behoben werden, falls überhaupt jemals eine Baubewilligung der zuständigen Behörde vorliegen sollte.</w:t>
      </w:r>
    </w:p>
    <w:p>
      <w:r>
        <w:t>Auf die Beschwerde ist somit nicht einzutreten. Dies gilt auch insofern, als die Beschwerdeführer den Kostenpunkt anfechten, zumal dieser lediglich einen Teilaspekt des angefochtenen Urteils darstellt ( BGE 133 V 645 E. 2.1 S. 647; Urteil 9C_117/2010 vom 23. Juli 2010 E. 2.2; je mit Hinweisen).</w:t>
      </w:r>
    </w:p>
    <w:p>
      <w:r>
        <w:rPr>
          <w:b/>
        </w:rPr>
        <w:t>E. 1.3</w:t>
      </w:r>
    </w:p>
    <w:p>
      <w:r>
        <w:t>Insoweit, als sich die Beschwerdeführer darauf berufen, dass ihnen - mit einer Ausnahme - der angefochtene Entscheid gar nicht eröffnet worden sei, stellt sich die Frage, ob gemäss Art. 94 BGG auf die Beschwerde einzutreten ist. Nach dieser Bestimmung kann gegen das unrechtmässige Verweigern oder Verzögern eines anfechtbaren Entscheids Beschwerde geführt werden. Die Frage ist zu verneinen. Wie aus den Verfahrensakten hervorgeht, erhob Herr B.z.________ als Prozessbevollmächtigter Beschwerde an die Vorinstanz. Die Zustellung des Entscheids des Verwaltungsgerichts an ihn gilt deshalb auch für die von ihm vertretenen Personen (vgl. § 9 des Gesetzes des Kantons Thurgau vom 23. Februar 1981 über die Verwaltungsrechtspflege [RB 170.1]). Eine Rechtsverweigerung oder Rechtsverzögerung liegt nicht vor.</w:t>
      </w:r>
    </w:p>
    <w:p>
      <w:r>
        <w:rPr>
          <w:b/>
        </w:rPr>
        <w:t>E. 1.4</w:t>
      </w:r>
    </w:p>
    <w:p>
      <w:r>
        <w:t>Ist auf die Beschwerde nicht einzutreten, so erübrigt sich auch die beantragte Durchführung eines Augenscheins. Ebenso wenig erweist sich eine mündliche Parteiverhandlung gemäss Art. 57 BGG als zweckmässig.</w:t>
      </w:r>
    </w:p>
    <w:p>
      <w:r>
        <w:rPr>
          <w:b/>
        </w:rPr>
        <w:t>E. 2</w:t>
      </w:r>
    </w:p>
    <w:p>
      <w:r>
        <w:t>Nach dem Gesagten ist auf die Beschwerde nicht einzutreten. Diesem Ausgang des Verfahrens entsprechend sind die Gerichtskosten den unterliegenden Beschwerdeführern aufzuerlegen ( Art. 66 Abs. 1 BGG ). Die obsiegende Beschwerdegegnerin wird nicht durch einen externen Anwalt, sondern durch ihre eigene Rechtsabteilung vertreten. Nach der bundesgerichtlichen Rechtsprechung zu Art. 68 Abs. 2 BGG ist ihr deshalb keine Parteientschädigung zuzusprechen (Urteil 1C_200/2008 vom 28. November 2008 E. 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