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22/2013 vom 29. November 2013</w:t>
      </w:r>
    </w:p>
    <w:p>
      <w:r>
        <w:t>Bundesgericht, 2013-11-29, FR</w:t>
      </w:r>
    </w:p>
    <w:p>
      <w:r>
        <w:rPr>
          <w:b/>
        </w:rPr>
        <w:t xml:space="preserve">Quelle: </w:t>
      </w:r>
      <w:r>
        <w:t>https://mcp.opencaselaw.ch/entscheid/bger_1C_22_2013</w:t>
      </w:r>
    </w:p>
    <w:p>
      <w:r>
        <w:t>FR: TF 1C 22/2013 du 29 novembre 2013</w:t>
      </w:r>
    </w:p>
    <w:p>
      <w:r>
        <w:t>IT: TF 1C 22/2013 del 29 novembre 2013</w:t>
      </w:r>
    </w:p>
    <w:p>
      <w:pPr>
        <w:pStyle w:val="Heading2"/>
      </w:pPr>
      <w:r>
        <w:t>Regeste</w:t>
      </w:r>
    </w:p>
    <w:p>
      <w:r>
        <w:t>résidences secondaires, art. 75b Cst. | Aménagement du territoire et droit public des constructions</w:t>
      </w:r>
    </w:p>
    <w:p>
      <w:pPr>
        <w:pStyle w:val="Heading2"/>
      </w:pPr>
      <w:r>
        <w:t>Erwägungen</w:t>
      </w:r>
    </w:p>
    <w:p>
      <w:r>
        <w:rPr>
          <w:b/>
        </w:rPr>
        <w:t>E. 1</w:t>
      </w:r>
    </w:p>
    <w:p>
      <w:r>
        <w:t>Les résidences secondaires constituent au maximum 20 % du parc des logements et de la surface brute au sol habitable de chaque commune.</w:t>
      </w:r>
    </w:p>
    <w:p>
      <w:r>
        <w:rPr>
          <w:b/>
        </w:rPr>
        <w:t>E. 2</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de l'accomplissement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(même arrêt, consid. 11.2).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 Le Tribunal fédéral a par ailleurs admis dans un deuxième arrêt de principe que l' art. 75b Cst. (en relation avec l' art. 197 ch. 9 al. 2 Cst. ) est directement applicable dès son entrée en vigueur le 11 mars 2012 ( ATF 139 II 243 ). En effet, l' art. 197 ch. 9 al. 2 Cst. ne précisant pas quelles communes sont visées, il ne peut être lu qu'à la lumière de l' art. 75b Cst. Dans la mesure où la disposition transitoire prévoit la nullité des permis de construire délivrés entre le 1er janvier 2013 et la date d'entrée en vigueur de la législation d'exécution, il apparaît que ces deux dispositions sont d'applicabilité directe (consid. 9.1). Le titre de l'initiative, le message du Conseil fédéral et les explications fournies avec le matériel de vote confirment cette interprétation, les discussions ayant toujours mis en avant le moratoire brutal que l'acceptation de l'initiative impliquerait (consid. 9.2). S'agissant de la période ayant couru entre l'acceptation de l'initiative populaire le 11 mars 2012 et le 1er janvier 2013, il apparaît que les champs d'application matériel et spatial de l' art. 75b Cst. sont suffisamment définis: dans la plupart des cas, la notion de résidence secondaire, qui est utilisée dans d'autres dispositions légales, ne prête pas à confusion et, en cas de doute, il y a lieu de lui donner une interprétation large, la restriction à la garantie de la propriété n'étant que temporaire (le législateur ayant pour mandat de légiférer d'ici au 11 mars 2014); s'agissant des communes visées, le registre fédéral des bâtiments et des logements et le recensement fédéral de 2000 permettent de les déterminer, à tout le moins provisoirement (consid. 10). Selon les principes généraux du droit, la disposition constitutionnelle est applicable à toutes les autorisations de construire délivrées après son entrée en vigueur et les décisions non conformes à cette disposition sont annulables. Si, dès le 1er janvier 2013, l' art. 197 ch. 9 al. 2 Cst. aggrave l'effet juridique de la non- conformité au droit par la nullité, avant cette date, la sanction des autorisations de construire inconstitutionnelles demeure l'annulabilité (consid. 11.1-11.3). Cette solution, qui correspond aux sens et but de l' art. 75b Cst. , est corroborée par les déclarations des autorités fédérales et des opposants avant la votation (consid. 11.4-11.5). Enfin, dans un troisième arrêt rendu le 22 mai 2013 ( ATF 139 II 263 ), le Tribunal fédéral a jugé que la date déterminante pour l'application de l' art. 75b Cst. était celle de la délivrance du permis de construire. L'autorité appliquant le droit en vigueur au jour où elle statue, la nouvelle disposition est en principe contraignante pour toute autorisation délivrée après le 11 mars 2012, quelle que soit la date à laquelle la demande a été déposée. Alors qu'un permis délivré après le 1er janvier 2013 est nul en vertu de l' art. 197 ch. 9 al. 2 Cst. , un permis délivré avant cette date mais après le 11 mars 2012 est annulable. Il y a bien évidemment lieu de réserver les cas de figure particuliers de la protection de la confiance ou du déni de justice (consid. 7). Toutefois, dans la mesure où la demande de permis a été déposée quelques mois seulement avant la date de la votation, les requérants devaient compter avec le risque que la disposition constitutionnelle soit adoptée et devienne dès lors applicable à leur projet de construction (consid. 8). Dans les communes où le taux de 20 % de résidences secondaires est déjà atteint, les permis de construire les concernant, délivrés entre le 11 mars 2012 et le 31 décembre 2012, sont ainsi annulables.</w:t>
      </w:r>
    </w:p>
    <w:p>
      <w:r>
        <w:rPr>
          <w:b/>
        </w:rPr>
        <w:t>E. 3</w:t>
      </w:r>
    </w:p>
    <w:p>
      <w:r>
        <w:t>En l'espèce, le permis de construire a été requis le 9 mars 2012 et délivré le 24 avril 2012, soit après l'entrée en vigueur des art. 75b et 197 ch. 9 Cst. Il n'est pas contesté que la construction projetée devait être une résidence secondaire ni que le parc des logements de la commune de Gryon comporte plus de 20 % de résidences secondaires. Dans ces circonstances, le permis de construire contrevient à l' art. 75b Cst.</w:t>
      </w:r>
    </w:p>
    <w:p>
      <w:r>
        <w:rPr>
          <w:b/>
        </w:rPr>
        <w:t>E. 4</w:t>
      </w:r>
    </w:p>
    <w:p>
      <w:r>
        <w:t>Les intimés font valoir que l'autorisation d'acquérir la parcelle n° 3148 était soumise à l'obligation d'entreprendre la construction dans un certain délai. Cette charge, imposée dans le cadre de l'exécution de la loi fédérale du 16 décembre 1983 sur l'acquisition d'immeubles par des personnes à l'étranger (LFAIE; RS 211.412.41), est sans rapport avec le but poursuivi par l' art. 75b Cst. Les intimés n'expliquent au demeurant pas en quoi elle devrait permettre de déroger à la nouvelle disposition constitutionnelle limitant la construction de résidences secondaires. Elle ne fait ainsi pas obstacle à l'annulation du permis de construire. En définitive, le permis de construire doit être annulé et la demande d'autorisation de construire définitivement rejetée, conformément aux principes rappelés ci-dessus.</w:t>
      </w:r>
    </w:p>
    <w:p>
      <w:r>
        <w:rPr>
          <w:b/>
        </w:rPr>
        <w:t>E. 5</w:t>
      </w:r>
    </w:p>
    <w:p>
      <w:r>
        <w:t>Vu l'issue de la cause, les frais judiciaires et les dépens sont mis à la charge des intimés qui succombent (art. 66 al. 1 et 68 al. 1 LTF). Il y a lieu également, conformément aux art. 67 et 68 al. 5 LTF , de fixer les frais et dépens pour la procédure devant le Tribunal cantonal. Compte tenu de ce qui précède, la cour cantonale aurait dû statuer en leur défaveur, ce qui justifie la mise à leur charge des frais de justice, ainsi que des dépens accordés à la recourante. Au vu du grand nombre de recours similaires déposés par la recourante, il convient de réduire les dépens et de les fixer à 2'500 fr. pour les procédures fédérale et cantonale. Quant aux frais judiciaires cantonaux, les circonstances justifient que, par équité, ils soient réduits à 1'000 francs. Enfin, la cause doit être renvoyée à la commune de Gryon, pour qu'elle statue sur les frais de la procédure communale d'autorisation de construire et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