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1C_228/2011 vom 6. Dezember 2011</w:t>
      </w:r>
    </w:p>
    <w:p>
      <w:r>
        <w:t>Bundesgericht, 2011-12-06, FR</w:t>
      </w:r>
    </w:p>
    <w:p>
      <w:r>
        <w:rPr>
          <w:b/>
        </w:rPr>
        <w:t xml:space="preserve">Quelle: </w:t>
      </w:r>
      <w:r>
        <w:t>https://mcp.opencaselaw.ch/entscheid/bger_1C_228_2011</w:t>
      </w:r>
    </w:p>
    <w:p>
      <w:r>
        <w:t>FR: TF 1C_228/2011 du 6 décembre 2011</w:t>
      </w:r>
    </w:p>
    <w:p>
      <w:r>
        <w:t>IT: TF 1C_228/2011 del 6 dicembre 2011</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et les conditions formelles de recevabilité sont remplies, de sorte qu'il y a lieu d'entrer en matière.</w:t>
      </w:r>
    </w:p>
    <w:p>
      <w:r>
        <w:rPr>
          <w:b/>
        </w:rPr>
        <w:t>E. 2</w:t>
      </w:r>
    </w:p>
    <w:p>
      <w:r>
        <w:t>Le recourant conteste avoir obtenu la naturalisation par des déclarations mensongères et reproche au Tribunal administratif fédéral d'avoir abusé de son pouvoir d'appréciation dans l'examen des éléments fondant le retrait de la naturalisation et d'avoir ainsi rendu une décision arbitraire, contraire au but de la loi fédérale du 29 septembre 1952 sur l'acquisition et la perte de la nationalité suisse (LN; RS 141.0).</w:t>
      </w:r>
    </w:p>
    <w:p>
      <w:r>
        <w:rPr>
          <w:b/>
        </w:rPr>
        <w:t>E. 2.1</w:t>
      </w:r>
    </w:p>
    <w:p>
      <w:r>
        <w:t>Conformément aux art. 41 al. 1 LN et 14 al. 1 de l'ordonnance du 17 novembre 1999 sur l'organisation du Département fédéral de justice et police (RS 172.213.1), l'Office fédéral des migrations peut, avec l'assentiment de l'autorité du canton d'origine, annuler dans les cinq ans une naturalisation facilitée obtenue par des déclarations mensongères ou par la dissimulation de faits essentiels.</w:t>
      </w:r>
    </w:p>
    <w:p>
      <w:r>
        <w:rPr>
          <w:b/>
        </w:rPr>
        <w:t>E. 2.1.1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1C_406/2009 du 28 octobre 2009 consid. 3.1.1 et l'arrêt cité).</w:t>
      </w:r>
    </w:p>
    <w:p>
      <w:r>
        <w:t>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128 II 97 consid. 4a p. 101 et les arrêts cités).</w:t>
      </w:r>
    </w:p>
    <w:p>
      <w:r>
        <w:t>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 121 II 49 consid. 2b p. 52).</w:t>
      </w:r>
    </w:p>
    <w:p>
      <w:r>
        <w:rPr>
          <w:b/>
        </w:rPr>
        <w:t>E. 2.1.2</w:t>
      </w:r>
    </w:p>
    <w:p>
      <w:r>
        <w:t>La procédure administrative fédérale est régie par le principe de la libre appréciation des preuves (art. 40 de la loi fédérale de procédure civile fédérale du 4 décembre 1947 [PCF; RS 273], applicable par renvoi de l'art. 19 de la loi fédérale du 20 décembre 1968 sur la procédure administrative [PA; RS 172.021]).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w:t>
      </w:r>
    </w:p>
    <w:p>
      <w:r>
        <w:t>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2.2</w:t>
      </w:r>
    </w:p>
    <w:p>
      <w:r>
        <w:t>En l'espèce, le Tribunal administratif fédéral a d'abord considéré que le laps de temps relativement court entre la déclaration commune (15 février 2005), l'octroi de la naturalisation facilitée (29 avril 2005) et la séparation (1er juin 2006) fondait la présomption que la naturalisation facilitée avait été obtenue frauduleusement.</w:t>
      </w:r>
    </w:p>
    <w:p>
      <w:r>
        <w:t>Il a ensuite estimé que l'idylle nouée par le recourant avec une jeune Chinoise de vingt-deux ans de moins que son épouse, environ treize mois après avoir obtenu la nationalité suisse constituait un indice sérieux de ce que l'union n'était en réalité pas aussi stable que ce qu'il tentait de faire accroire. Le fait que l'intéressé ait envisagé le mariage rapidement avec Z.________ et qu'il ait menti à son épouse à ce sujet plaidait aussi dans ce sens. La mésentente conjugale qui a abouti à la séparation du couple le 1er juin 2006 n'était cependant pas uniquement due à cette liaison adultérine.</w:t>
      </w:r>
    </w:p>
    <w:p>
      <w:r>
        <w:t>Le Tribunal administratif fédéral a également retenu que lors de son audition du 9 mai 2007, l'épouse du recourant avait déclaré qu'elle supportait mal que son époux vécût sa vie sociale "entre hommes". L'instance précédente a qualifié cet élément de "divergences socio-culturelles du couple". Elle a aussi relevé que l'épouse abhorrait les mensonges que son mari inventait pour aller voir sa maîtresse. Elle en a déduit que ce n'était pas l'infidélité du recourant qui avait subitement poussé son épouse à l'expulser du domicile conjugal en mai 2006, mais ses mensonges, cumulés aux problèmes culturels. Elle a encore mis en évidence le fait que l'épouse avait déclaré qu'aucun événement intervenu juste après la naturalisation de son mari n'avait rendu la séparation incontournable, mais que "la situation s'[était] dégradée". En revanche, le Tribunal administratif fédéral n'a pas "accordé un poids déterminant" aux courriers du 7 avril 2009, du 13 août 2010 et à la déclaration non datée produite le 12 janvier 2011 de l'épouse du recourant, au motif que ces missives étaient postérieures à la décision entreprise: il en ressortait que les motifs de la séparation de juin 2006 étaient liés à l'aventure extraconjugale du recourant.</w:t>
      </w:r>
    </w:p>
    <w:p>
      <w:r>
        <w:t>Différents éléments renforçaient encore la conviction du Tribunal administratif fédéral, à savoir les conditions précipitées dans lesquelles le mariage avait été conclu et le fait que le processus de réconciliation des époux avait débuté en novembre 2006, soit juste après que l'ODM avait informé le recourant de son intention d'examiner s'il y avait lieu d'annuler la naturalisation facilitée. De surcroît, les témoignages produits en cours de procédure ne feraient, au mieux, qu'attester des "rapports cordiaux entretenus par le recourant avec son épouse, rapports qui pourraient tout aussi bien se dérouler dans le cadre d'une relation amicale entre deux adultes plutôt qu'au sein d'une véritable union conjugale". En outre, les divergences dans les déclarations de l'intéressé au sujet d'une dénommée A.________ nuiraient à sa crédibilité et plaideraient en sa défaveur dans le cadre de la présente procédure. Enfin, la reprise de la vie conjugale reposerait sur des motifs de convenance personnelle.</w:t>
      </w:r>
    </w:p>
    <w:p>
      <w:r>
        <w:rPr>
          <w:b/>
        </w:rPr>
        <w:t>E. 2.3</w:t>
      </w:r>
    </w:p>
    <w:p>
      <w:r>
        <w:t>On peut douter que la chronologie des événements avancée par l'instance précédente soit propre à fonder la présomption de fait que la naturalisation facilitée a été obtenue frauduleusement, dans la mesure où il s'est écoulé un an et quatre mois entre la signature de la déclaration commune et la séparation momentanée des époux. Cette question peut cependant demeurer indécise puisque, quoi qu'il en soit, le recourant parvient à renverser cette présomption et à faire admettre l'existence d'une possibilité raisonnable qu'il n'a pas menti en déclarant former une communauté stable avec son épouse.</w:t>
      </w:r>
    </w:p>
    <w:p>
      <w:r>
        <w:t>En effet, il ne paraît pas invraisemblable que les problèmes de couple, qui ont conduit à la séparation momentanée des époux de juin 2006 au début de l'année 2007, n'étaient que de nature passagère, contrairement à l'avis de l'instance précédente. De fait, différents éléments, auxquels le Tribunal administratif fédéral a accordé peu d'importance, indiquent que le couple était stable en février 2005 au moment de la signature de la déclaration commune. Les époux ont ainsi effectué des voyages ensemble notamment en été 2005 et ont participé à des réunions de famille entre mars 2005 et juin 2006. Lors de son audition du 9 mai 2007, l'épouse du recourant a en outre affirmé qu'il n'avait jamais été question de séparation ou de divorce avant qu'elle ne mette le recourant à la porte en mai 2006. Elle a encore déclaré qu'il était un vrai soutien tant sur le plan moral que financier. Quand elle a évoqué les problèmes du couple, elle a fait principalement référence à la relation extraconjugale du recourant (voir également courriers des 7 avril 2009 et 13 août 2010). Cette liaison adultérine qui a débuté au printemps 2006 paraît en effet être la cause principale de la séparation, ce que confirment différents témoignages d'amis et de la belle-mère du recourant. Par lettre du 11 août 2010, B.________ a en particulier expliqué que les difficultés conjugales en 2006 étaient liées à la relation extraconjugale et que, à la requête de Y.________, qui continuait à éprouver des sentiments pour son mari, il avait eu deux entretiens avec le recourant, en octobre et novembre 2006, qu'il en avait rapporté la teneur à la prénommée, que les époux s'étaient rencontrés en sa présence au mois de décembre 2006 et que c'est dans ces circonstances que la vie commune avait repris.</w:t>
      </w:r>
    </w:p>
    <w:p>
      <w:r>
        <w:t>Enfin, les époux n'ont jamais entamé de procédure ni de divorce ni de séparation, ils ont repris une vie commune au début 2007 et ils sont actuellement mariés depuis plus de onze ans; ces éléments peuvent être perçus comme une preuve que la crise de 2006 n'a été que passagère.</w:t>
      </w:r>
    </w:p>
    <w:p>
      <w:r>
        <w:t>Dans ces circonstances, le recourant rend crédible que la dégradation des rapports conjugaux est intervenue durant le printemps 2006, que l'adultère en était la principale cause et que son mariage ne connaissait pas de trouble en 2005. La relation que l'intéressé a entretenue avec Z.________ peut plausiblement être comprise comme un coup de foudre passager, lequel n'a pas mis en question la stabilité du couple avant cette période et ce, nonobstant les différents éléments avancés par le Tribunal administratif fédéral (cf. consid. supra 2.3). Partant, le recourant parvient à rendre vraisemblable la survenance d'un événement extraordinaire susceptible d'expliquer une détérioration rapide du lien conjugal, et ainsi l'existence d'une véritable volonté de maintenir une union stable avec son épouse lorsqu'il a signé la déclaration commune en février 2005.</w:t>
      </w:r>
    </w:p>
    <w:p>
      <w:r>
        <w:rPr>
          <w:b/>
        </w:rPr>
        <w:t>E. 3</w:t>
      </w:r>
    </w:p>
    <w:p>
      <w:r>
        <w:t>Il s'ensuit que le recours est admis, sans qu'il soit nécessaire d'examiner les griefs formels invoqués par le recourant. L'arrêt du Tribunal administratif fédéral du 28 mars 2011 et la décision de l'ODM du 12 mars 2009 annulant la naturalisation facilitée de X.________ sont annulés. Le recourant, qui obtient gain de cause avec l'assistance d'un avocat, a droit à des dépens pour la procédure devant le Tribunal fédéral ( art. 68 al. 1 LTF ), à la charge de la Confédération (Office fédéral des migrations). Il n'est pas perçu de frais judiciaires ( art. 66 al. 4 LTF ). La cause sera renvoyée à l'instance précédente pour qu'elle statue à nouveau sur les frais et dépens de sa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