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228/2009 vom 31. August 2009</w:t>
      </w:r>
    </w:p>
    <w:p>
      <w:r>
        <w:t>Bundesgericht, 2009-08-31, FR</w:t>
      </w:r>
    </w:p>
    <w:p>
      <w:r>
        <w:rPr>
          <w:b/>
        </w:rPr>
        <w:t xml:space="preserve">Quelle: </w:t>
      </w:r>
      <w:r>
        <w:t>https://mcp.opencaselaw.ch/entscheid/bger_1C_228_2009</w:t>
      </w:r>
    </w:p>
    <w:p>
      <w:r>
        <w:t>FR: TF 1C 228/2009 du 31 août 2009</w:t>
      </w:r>
    </w:p>
    <w:p>
      <w:r>
        <w:t>IT: TF 1C 228/2009 del 31 agosto 2009</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la recourante possède la qualité pour recourir au sens de l' art. 89 al. 1 LTF et les conditions formelles de recevabilité sont remplies, de sorte qu'il y a lieu d'entrer en matière.</w:t>
      </w:r>
    </w:p>
    <w:p>
      <w:r>
        <w:rPr>
          <w:b/>
        </w:rPr>
        <w:t>E. 2</w:t>
      </w:r>
    </w:p>
    <w:p>
      <w:r>
        <w:t>Conformément aux art. 41 al. 1 de la loi fédérale du 29 septembre 1952 sur l'acquisition et la perte de la nationalité suisse (LN; RS 141.0)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3</w:t>
      </w:r>
    </w:p>
    <w:p>
      <w:r>
        <w:t>En l'espèce, l'arrêt attaqué retient que la recourante a déposé une demande de naturalisation facilitée le 8 avril 2002. Les époux A.________ et B.________ ont signé une déclaration commune attestant de la stabilité de leur union le 27 novembre 2002 et la naturalisation a été accordée à la recourante le 17 décembre 2002. Environ six mois plus tard, soit en juin 2003, les époux se sont séparés et le 9 juillet 2003 B.________ a déposé une demande de divorce. Le 27 août 2003, les époux ont fait parvenir au greffe du tribunal une convention commune de divorce. La dissolution de leur mariage a été prononcée le 5 janvier 2004. Le 13 juillet 2005, soit moins de dix-huit mois plus tard, la recourante a entrepris des démarches auprès du Service fribourgeois de l'état civil et des naturalisations en vue de la conclusion d'un mariage avec un ressortissant marocain, né le 13 avril 1974; le nouveau mariage a été conclu le 24 janvier 2006. Le Tribunal administratif fédéral a estimé que ces éléments et leur enchaînement chronologique relativement rapide étaient de nature à fonder la présomption de fait que la stabilité requise du mariage n'existait déjà plus au moment de la déclaration de vie commune le 27 novembre 2002, à tout le moins lors du prononcé de la naturalisation facilitée du 17 décembre 2002. L'expérience générale de la vie enseigne en effet qu'un ménage uni depuis plusieurs années ne se brise pas en une période aussi brève, soit un laps de temps aussi court que celui qui, en l'espèce, s'est écoulé entre la déclaration relative à la vie commune (le 27 novembre 2002) et l'ouverture d'une procédure de divorce (Ie 9 juillet 2003) sans qu'un événement extraordinaire en soit la cause et sans que les conjoints en aient eu le pressentiment. La recourante ne conteste aucun de ces éléments, lesquels sont propres à entraîner la présomption que sa naturalisation a été obtenue frauduleusement. Elle allègue certes que c'est "un constat faux que de parler d'un remariage relativement rapide, deux ans après le divorce"; le Tribunal administratif fédéral n'a cependant pas retenu cette circonstance pour établir la présomption, mais il a fondé celle-ci sur la rapide séparation du couple, survenue seulement six mois mois après la signature de la déclaration commune du 27 novembre 2002. Selon la jurisprudence précitée, il incombait dès lors à la recourante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4</w:t>
      </w:r>
    </w:p>
    <w:p>
      <w:r>
        <w:t>La recourante soutient que la cause de la rupture irrémédiable a été le refus persistant de son ex-mari d'avoir une descendance commune. Enceinte en 1998, elle avait avorté parce qu'il ne voulait pas d'enfant. Elle était revenue à charge en 2003 et avait dû constater que B.________ n'avait pas changé d'avis, de sorte qu'il ne restait plus qu'à dissoudre le mariage. Dans ses déclarations du 13 octobre 2005, B.________ a effectivement affirmé que les difficultés relationnelles du couple étaient dues au désir de son ex-épouse d'avoir un enfant. Les problèmes conjugaux avaient commencé dès l'été 2003, car c'est au cours de la dernière année de leur mariage que la recourante s'était montrée insistante sur cette question. Les explications des intéressés ne convainquent pas: si le désaccord des époux relatif à la question des enfants a effectivement été le motif essentiel de la rupture, on peine à croire qu'il soit survenu de manière inattendue et subite après cinq ans de mariage. Comme l'a relevé le Tribunal administratif fédéral, il n'est pas vraisemblable que l'insistance de la recourante ait été de nature à provoquer, à elle seule, la désunion du couple dans le laps de temps de sept mois qui sépare la décision de naturalisation et l'ouverture de la procédure de divorce. En effet, les éventuelles difficultés qui peuvent surgir entre époux, après plusieurs années de vie commune, dans une communauté de vie effective, intacte et stable, n'entraînent la séparation, selon l'expérience générale, qu'au terme d'un processus prolongé de dégradation des rapports conjugaux, en principe entrecoupés de tentatives de réconciliation (cf. arrêt 5A.11/2006 du 27 juin 2006 consid. 4.1 et arrêt 5A.18/2003 du 19 novembre 2003 consid. 2.2). A cela s'ajoute qu'en épousant une personne alors âgée de près de quarante ans et déjà père d'un enfant adulte né d'un précédent mariage, la recourante ne pouvait ignorer que la perspective d'avoir des enfants communs était restreinte. Ce d'autant plus qu'en 1998, soit l'année même de la conclusion du mariage, elle dit avoir subi un avortement car elle savait que B.________ était opposé à une descendance commune. Le désaccord des époux sur cette question apparemment primordiale pour la recourante existait ainsi dès le début du mariage et posait indéniablement déjà problème au moment où les conjoints ont signé la déclaration commune du 27 novembre 2002. On ne voit pas comment la recourante pouvait espérer faire subitement changer d'avis son mari en 2003, soit cinq ans après la première grossesse, alors que son opposition avait apparemment toujours été claire et qu'il avait entre-temps dépassé la quarantaine; l'intéressée relève elle-même à ce propos qu'"un père dans la quarantaine peut hésiter d'abord devant la perspective de recommencer ab ovo l'éducation d'un enfant" (mémoire de recours p. 6). Du reste, elle est peu crédible lorsqu'elle allègue avoir menti à son époux au sujet de l'avortement parce qu'un tel aveu aurait permis à celui-ci de penser qu'elle avait entériné sa décision, alors que l'hypothèse de l'accident signifiait que la question d'une nouvelle grossesse pouvait se poser à l'avenir. De même, on peut souligner que B.________ n'a pas pu expliquer pourquoi dans sa demande de divorce du 9 juillet 2003 il a invoqué comme motif le fait que la recourante l'avait épousé uniquement pour obtenir la régularisation de ses conditions de séjour, qu'elle entretenait une liaison extraconjugale et qu'elle s'était toujours arrangée pour ne pas avoir des congés ou des vacances en même temps que lui, alors qu'au cours de la procédure devant l'Office fédéral il a spontanément exposé que la seule et unique cause de la séparation était le désaccord au sujet des enfants. Dans ces circonstances, il apparaît que la recourante n'a pas réussi à rendre vraisemblable la survenance d'un événement extraordinaire susceptible d'expliquer une dégradation aussi rapide du lien conjugal et que les éléments avancés ne permettent pas de renverser la présomption établie. Il en découle que les conditions d'application de l' art. 41 LN sont remplies et que le Tribunal administratif fédéral n'a pas abusé de son pouvoir d'appréciation en confirmant l'annulation de la naturalisation facilitée octroyée à la recourante, ce qui rend superflu l'examen du bien-fondé des autres indices retenus par le Tribunal administratif fédéral à l'appui de sa conviction.</w:t>
      </w:r>
    </w:p>
    <w:p>
      <w:r>
        <w:rPr>
          <w:b/>
        </w:rPr>
        <w:t>E. 5</w:t>
      </w:r>
    </w:p>
    <w:p>
      <w:r>
        <w:t>Il résulte de ce qui précède que le recours doit être rejeté. La recourante,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