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226/2020 vom 27. Mai 2020</w:t>
      </w:r>
    </w:p>
    <w:p>
      <w:r>
        <w:t>Bundesgericht, 2020-05-27, DE</w:t>
      </w:r>
    </w:p>
    <w:p>
      <w:r>
        <w:rPr>
          <w:b/>
        </w:rPr>
        <w:t xml:space="preserve">Quelle: </w:t>
      </w:r>
      <w:r>
        <w:t>https://mcp.opencaselaw.ch/entscheid/bger_1C_226_2020</w:t>
      </w:r>
    </w:p>
    <w:p>
      <w:r>
        <w:t>FR: TF 1C 226/2020 du 27 mai 2020</w:t>
      </w:r>
    </w:p>
    <w:p>
      <w:r>
        <w:t>IT: TF 1C 226/2020 del 27 maggio 2020</w:t>
      </w:r>
    </w:p>
    <w:p>
      <w:pPr>
        <w:pStyle w:val="Heading2"/>
      </w:pPr>
      <w:r>
        <w:t>Regeste</w:t>
      </w:r>
    </w:p>
    <w:p>
      <w:r>
        <w:t>Nichteintreten auf einen Rekurs | Verwaltungsverfahren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Appellationsgericht des Kantons Basel-Stadt als Verwaltungsgericht ist am 8. April 2020 auf einen Rekurs von A.________ nicht eingetreten. Mit Eingabe vom 6. Mai 2020 erhebt A.________ Beschwerde gegen dieses Urteil. Vernehmlassungen wurden keine eingeholt.</w:t>
      </w:r>
    </w:p>
    <w:p>
      <w:r>
        <w:rPr>
          <w:b/>
        </w:rPr>
        <w:t>E. 2</w:t>
      </w:r>
    </w:p>
    <w:p>
      <w:r>
        <w:t>Angefochten ist ein kantonal letztinstanzlicher Entscheid in einer öffentlich-rechtlichen Angelegenheit. Dagegen steht die Beschwerde nach Art. 82 ff. BGG offen; ein Ausnahmegrund ist nicht gegeben ( Art. 83 BGG ). Es ist allerdings Sache des Beschwerdeführers, sowohl darzulegen, dass die Sachurteilsvoraussetzungen erfüllt sind, soweit das nicht offensichtlich ist ( Art. 42 Abs. 2 BGG ; BGE 133 II 249 E. 1.1; 353 E. 1), als auch, dass der angefochtene Entscheid Bundesrecht verletzt ( BGE 135 III 127 E. 1.6 S. 130; 134 II 244 E. 2.1 und 2.2 S. 245 f.; je mit Hinweisen). Die Beschwerde enthält weder einen Antrag noch eine Begründung und erfüllt damit die gesetzlichen Begründungsanforderungen von Art. 42 Abs. 1 BGG nicht. Auf die Beschwerde ist daher im vereinfachten Verfahren nicht einzutreten, wobei auf die Erhebung von Gerichtskosten ausnahmsweise verzichtet werden kann.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