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224/2022 vom 2. Mai 2022</w:t>
      </w:r>
    </w:p>
    <w:p>
      <w:r>
        <w:t>Bundesgericht, 2022-05-02, IT</w:t>
      </w:r>
    </w:p>
    <w:p>
      <w:r>
        <w:rPr>
          <w:b/>
        </w:rPr>
        <w:t xml:space="preserve">Quelle: </w:t>
      </w:r>
      <w:r>
        <w:t>https://mcp.opencaselaw.ch/entscheid/bger_1C_224_2022</w:t>
      </w:r>
    </w:p>
    <w:p>
      <w:r>
        <w:t>FR: TF 1C 224/2022 du 2 mai 2022</w:t>
      </w:r>
    </w:p>
    <w:p>
      <w:r>
        <w:t>IT: TF 1C 224/2022 del 2 maggio 2022</w:t>
      </w:r>
    </w:p>
    <w:p>
      <w:pPr>
        <w:pStyle w:val="Heading2"/>
      </w:pPr>
      <w:r>
        <w:t>Regeste</w:t>
      </w:r>
    </w:p>
    <w:p>
      <w:r>
        <w:t>Revoca della licenza di condurre veicoli a motore | Costruzioni stradali e circolazione stradale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delle istituzioni, al Consiglio di Stato, al Tribunale amministrativo del Cantone Ticino e all'Ufficio federale delle strade. Losanna, 2 maggio 2022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