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1C_223/2018 vom 17. Mai 2018</w:t>
      </w:r>
    </w:p>
    <w:p>
      <w:r>
        <w:t>Bundesgericht, 2018-05-17, DE</w:t>
      </w:r>
    </w:p>
    <w:p>
      <w:r>
        <w:rPr>
          <w:b/>
        </w:rPr>
        <w:t xml:space="preserve">Quelle: </w:t>
      </w:r>
      <w:r>
        <w:t>https://mcp.opencaselaw.ch/entscheid/bger_1C_223_2018</w:t>
      </w:r>
    </w:p>
    <w:p>
      <w:r>
        <w:t>FR: TF 1C_223/2018 du 17 mai 2018</w:t>
      </w:r>
    </w:p>
    <w:p>
      <w:r>
        <w:t>IT: TF 1C_223/2018 del 17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1C_223/2018</w:t>
      </w:r>
    </w:p>
    <w:p>
      <w:r>
        <w:t>Urteil vom 17. Mai 2018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Forster.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Bundesamt für Justiz, Fachbereich Auslieferung,</w:t>
      </w:r>
    </w:p>
    <w:p>
      <w:r>
        <w:t>Bundesrain 20, 3003 Bern.</w:t>
      </w:r>
    </w:p>
    <w:p>
      <w:r>
        <w:t>Gegenstand</w:t>
      </w:r>
    </w:p>
    <w:p>
      <w:r>
        <w:t>Internationale Rechtshilfe; Auslieferungshaft und Auslieferung an Deutschland,</w:t>
      </w:r>
    </w:p>
    <w:p>
      <w:r>
        <w:t>Beschwerde gegen die Entscheide des Bundesstrafgerichts, Beschwerdekammer,</w:t>
      </w:r>
    </w:p>
    <w:p>
      <w:r>
        <w:t>vom 13. Februar 2018 (RH.2018.1 + RP.2018.9)</w:t>
      </w:r>
    </w:p>
    <w:p>
      <w:r>
        <w:t>und vom 25. April 2018 (RR.2018.109 + RP.2018.18).</w:t>
      </w:r>
    </w:p>
    <w:p>
      <w:r>
        <w:t>In Erwägung,</w:t>
      </w:r>
    </w:p>
    <w:p>
      <w:r>
        <w:t>dass A.________ mit Beschwerdeeingabe vom 6. Mai (Postaufgabe: 7. Mai) 2018 an das Bundesgericht gelangte;</w:t>
      </w:r>
    </w:p>
    <w:p>
      <w:r>
        <w:t>dass er die Entscheide der Beschwerdekammer des Bundesstrafgerichtes vom 13. Februar 2018 (Auslieferungshaftbefehl) und 25. April 2018 (Auslieferung an Deutschland) anficht;</w:t>
      </w:r>
    </w:p>
    <w:p>
      <w:r>
        <w:t>dass der angefochtene Entscheid vom 13. Februar 2018 seinem Rechtsvertreter (laut Empfangsbestätigung der Post) am 14. Februar 2018 zugestellt worden ist, weshalb diesbezüglich die gesetzliche zehntägige Beschwerdefrist ( Art. 100 Abs. 2 lit. b BGG ) am 7. Mai 2018 bereits seit über zwei Monaten abgelaufen war;</w:t>
      </w:r>
    </w:p>
    <w:p>
      <w:r>
        <w:t>dass insoweit auf die Beschwerde im vereinfachten einzelrichterlichen Verfahren unter kurzer Angabe des Unzulässigkeitsgrundes nicht einzutreten ist ( Art. 108 Abs. 1 lit. a und Abs. 3 BGG );</w:t>
      </w:r>
    </w:p>
    <w:p>
      <w:r>
        <w:t>dass die Beschwerdeschrift hinsichtlich des angefochtenen Auslieferungsentscheides vom 25. April 2018 keine (auch keine sinngemässen) Ausführungen zur gesetzlichen Sachurteilsvoraussetzung des besonders bedeutenden Falles ( Art. 84 BGG ) enthält, weshalb auch insoweit auf die Beschwerde im einzelrichterlichen Verfahren nicht einzutreten ist (Art. 108 Abs. 1 lit. b i.V.m. Art. 42 Abs. 2 Satz 2 BGG ; BGE 133 IV 125 E. 1.2 S. 128; Urteile 1C_380/2015 vom 31. Juli 2015 E. 1-2; 1C_489/2010 vom 3. November 2010 E. 1-2);</w:t>
      </w:r>
    </w:p>
    <w:p>
      <w:r>
        <w:t>dass auf die Erhebung von Gerichtskosten hier verzichtet werden kann ( Art. 66 Abs. 1 Satz 2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Beschwerdeführer, dem Bundesamt für Justiz, Fachbereich Auslieferung, dem Bundesstrafgericht, Beschwerdekammer, sowie Rechtsanwalt Simon Krauter schriftlich mitgeteilt.</w:t>
      </w:r>
    </w:p>
    <w:p>
      <w:r>
        <w:t>Lausanne, 17. Mai 2018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Forster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