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222/2022 vom 1. Juni 2022</w:t>
      </w:r>
    </w:p>
    <w:p>
      <w:r>
        <w:t>Bundesgericht, 2022-06-01, DE</w:t>
      </w:r>
    </w:p>
    <w:p>
      <w:r>
        <w:rPr>
          <w:b/>
        </w:rPr>
        <w:t xml:space="preserve">Quelle: </w:t>
      </w:r>
      <w:r>
        <w:t>https://mcp.opencaselaw.ch/entscheid/bger_1C_222_2022</w:t>
      </w:r>
    </w:p>
    <w:p>
      <w:r>
        <w:t>FR: TF 1C 222/2022 du 1 juin 2022</w:t>
      </w:r>
    </w:p>
    <w:p>
      <w:r>
        <w:t>IT: TF 1C 222/2022 del 1 giugno 2022</w:t>
      </w:r>
    </w:p>
    <w:p>
      <w:pPr>
        <w:pStyle w:val="Heading2"/>
      </w:pPr>
      <w:r>
        <w:t>Regeste</w:t>
      </w:r>
    </w:p>
    <w:p>
      <w:r>
        <w:t>Administrativmassnahmen des Strassenverkehrsrechts | Strassenbau und Strassenverkehr</w:t>
      </w:r>
    </w:p>
    <w:p>
      <w:pPr>
        <w:pStyle w:val="Heading2"/>
      </w:pPr>
      <w:r>
        <w:t>Erwägungen</w:t>
      </w:r>
    </w:p>
    <w:p>
      <w:r>
        <w:rPr>
          <w:b/>
        </w:rPr>
        <w:t>E. 1</w:t>
      </w:r>
    </w:p>
    <w:p>
      <w:r>
        <w:t>Mit Urteil vom 28. März 2022 betreffend Administrativmassnahmen im Strassenverkehr ist das Kantonsgericht Luzern auf eine Beschwerde von A.________ nicht eingetreten mit der Begründung, er habe den Kostenvorschuss innert der ihm angesetzten Frist nicht geleistet. Mit Eingabe vom 21. April 2022 reicht A.________ dem Bundesgericht das Urteil des Kantonsgerichts vom 28. März 2022 sowie ein an ihn gerichtetes Schreiben des Kantonsgerichts vom 13. April 2022 betreffend "Zweite Zustellung" ein, mit den handschriftlichen Vermerken, er sei mit diesen Sachen nicht einverstanden. Vernehmlassungen wurden keine eingeholt.</w:t>
      </w:r>
    </w:p>
    <w:p>
      <w:r>
        <w:rPr>
          <w:b/>
        </w:rPr>
        <w:t>E. 2</w:t>
      </w:r>
    </w:p>
    <w:p>
      <w:r>
        <w:t>Angefochten ist mit dem Urteil vom 28. März 2022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Die Beschwerde enthält weder einen Antrag noch eine Begründung und genügt damit den gesetzlichen Anforderungen nicht. Auf die Beschwerde ist wegen Verletzung der Begründungspflicht nicht einzutreten, wobei auf die Erhebung von Kosten ausnahmsweise verzichtet werden kann. Der Beschwerdeführer ist allerdings darauf hinzuweisen, dass er mit der Auferlegung von Kosten rechnen muss, falls er weitere Beschwerden einreicht, die den gesetzlichen Begründungsanforderungen offensichtlich nicht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