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1C_221/2018 vom 10. September 2018</w:t>
      </w:r>
    </w:p>
    <w:p>
      <w:r>
        <w:t>Bundesgericht, 2018-09-10, DE</w:t>
      </w:r>
    </w:p>
    <w:p>
      <w:r>
        <w:rPr>
          <w:b/>
        </w:rPr>
        <w:t xml:space="preserve">Quelle: </w:t>
      </w:r>
      <w:r>
        <w:t>https://mcp.opencaselaw.ch/entscheid/bger_1C_221_2018</w:t>
      </w:r>
    </w:p>
    <w:p>
      <w:r>
        <w:t>FR: TF 1C_221/2018 du 10 septembre 2018</w:t>
      </w:r>
    </w:p>
    <w:p>
      <w:r>
        <w:t>IT: TF 1C_221/2018 del 10 settembre 2018</w:t>
      </w:r>
    </w:p>
    <w:p>
      <w:pPr>
        <w:pStyle w:val="Heading2"/>
      </w:pPr>
      <w:r>
        <w:t>Erwägungen</w:t>
      </w:r>
    </w:p>
    <w:p>
      <w:r>
        <w:rPr>
          <w:b/>
        </w:rPr>
        <w:t>E. 1.1</w:t>
      </w:r>
    </w:p>
    <w:p>
      <w:r>
        <w:t>Angefochten ist ein kantonal letztinstanzlicher Endentscheid in einer Angelegenheit des öffentlichen Rechts, die unter keinen Ausschlussgrund gemäss Art. 83 BGG fällt und daher mit Beschwerde in öffentlich-rechtlichen Angelegenheiten an das Bundesgericht weitergezogen werden kann ( Art. 82 lit. a, Art. 86 Abs. 1 lit. d und Abs. 2 sowie Art. 90 BGG ). Der Beschwerdeführer ist durch den angefochtenen Entscheid beschwert und zu dessen Anfechtung befugt ( Art. 89 Abs. 1 BGG ). Die übrigen Sachurteilsvoraussetzungen geben zu keinen Bemerkungen Anlass. Auf die Beschwerde ist einzutreten.</w:t>
      </w:r>
    </w:p>
    <w:p>
      <w:r>
        <w:rPr>
          <w:b/>
        </w:rPr>
        <w:t>E. 1.2</w:t>
      </w:r>
    </w:p>
    <w:p>
      <w:r>
        <w:t>Mit der Beschwerde in öffentlich-rechtlichen Angelegenheiten kann insbesondere die Verletzung von Bundesrecht und von kantonalen verfassungsmässigen Rechten gerügt werden ( Art. 95 lit. a und c BGG ). Das Bundesgericht prüft Rechtsverletzungen im Sinne von Art. 95 BGG frei, die Anwendung kantonalen Rechts dagegen in der Regel nur auf Bundesrechtsverletzungen, d.h. namentlich auf Willkür hin ( BGE 138 I 143 E. 2 S. 149 f.). Das Bundesgericht wendet das Recht grundsätzlich von Amtes wegen an ( Art. 106 Abs. 1 BGG ). Die Verletzung von Grundrechten und von kantonalem und interkantonalem Recht prüft es aber nur insofern, als eine solche Rüge in der Beschwerde vorgebracht und begründet worden ist ( Art. 106 Abs. 2 BGG ).</w:t>
      </w:r>
    </w:p>
    <w:p>
      <w:r>
        <w:rPr>
          <w:b/>
        </w:rPr>
        <w:t>E. 2.1</w:t>
      </w:r>
    </w:p>
    <w:p>
      <w:r>
        <w:t>Der Beschwerdeführer macht einzig geltend, ihm sei die unentgeltliche Rechtspflege für den Antrag auf Rückweisung der Baubewilligung zu gewähren. Zur Begründung bringt er vor, seine vor der Vorinstanz erhobene Rüge, wonach das BVU sein unbedingtes Replikrecht missachtet habe, sei nicht aussichtslos gewesen.</w:t>
      </w:r>
    </w:p>
    <w:p>
      <w:r>
        <w:rPr>
          <w:b/>
        </w:rPr>
        <w:t>E. 2.2</w:t>
      </w:r>
    </w:p>
    <w:p>
      <w:r>
        <w:t>Der Umfang des Anspruchs auf unentgeltliche Rechtspflege richtet sich zunächst nach den Vorschriften des kantonalen Rechts. Erst wenn sich dieser Rechtsschutz als ungenügend erweist, greifen die bundesverfassungsrechtlichen Minimalgarantien ( BGE 134 I 92 E. 3.1.1 S. 98 mit Hinweisen). Nach § 34 Abs. 1 des Gesetzes des Kantons Aargau über die Verwaltungsrechtspflege vom 4. Dezember 2007 (VRPG; SAR 271.200) befreit die zuständige Behörde natürliche Personen auf Gesuch von der Kosten- und Vorschusspflicht, wenn die Partei ihre Bedürftigkeit nachweist und das Begehren nicht aussichtslos erscheint. Damit deckt sich die kantonale Regelung im Wesentlichen mit den verfassungsrechtlichen Mindestanforderungen an die unentgeltliche Rechtspflege. Deshalb ist zwar primär § 34 Abs. 1 VRPG anwendbar, für dessen Auslegung ist jedoch die Praxis des Bundesgerichts zu Art. 29 Abs. 3 BV zu berücksichtigen. Aussichtslos sind nach dieser Rechtsprechung Prozessbegehren, bei denen die Gewinnaussichten beträchtlich geringer sind als die Verlustgefahren (vgl. zum Ganzen BGE 140 V 521 E. 9.1 S. 537 mit Hinweisen).</w:t>
      </w:r>
    </w:p>
    <w:p>
      <w:r>
        <w:t>In Verfahren vor Verwaltungs- und Gerichtsbehörden ergibt sich aus dem verfassungsmässigen Anspruch auf rechtliches Gehör ( Art. 29 Abs. 2 BV ) das Recht, sich zu Eingaben von Vorinstanz oder Gegenpartei zu äussern, soweit die darin vorgebrachten Noven prozessual zulässig und materiell geeignet sind, den Entscheid zu beeinflussen. Von diesem so genannten Replikrecht im engeren Sinn zu unterscheiden ist die - nur in den Art. 6 Ziff. 1 EMRK unterliegenden - Gerichtsverfahren bestehende Möglichkeit, zu jeder Eingabe von Vorinstanz oder Gegenpartei Stellung zu nehmen, und zwar unabhängig davon, ob diese neue und erhebliche Gesichtspunkte enthält (zum Ganzen: BGE 138 I 154 E. 2.3.2 f. S. 156 f. mit Hinweisen).</w:t>
      </w:r>
    </w:p>
    <w:p>
      <w:r>
        <w:rPr>
          <w:b/>
        </w:rPr>
        <w:t>E. 2.3</w:t>
      </w:r>
    </w:p>
    <w:p>
      <w:r>
        <w:t>Der Teilentscheid vom 13. Dezember 2017 ist mit dem Nichteintretensentscheid des Bundesgerichts vom 21. Februar 2018 auf die gegen diesen erhobene Beschwerde in Rechtskraft erwachsen. Daher ist zweifelhaft, ob der Beschwerdeführer die Aussichtslosigkeit der damit entschiedenen Rechtsbegehren im vorliegenden Verfahren überhaupt noch zur Diskussion stellen kann. Diese Frage kann aber offen bleiben, denn die Rüge der Verletzung des Replikrechts ist jedenfalls unbegründet. Nach den - vom Beschwerdeführer nicht bestrittenen und daher für das Bundesgericht verbindlichen - Feststellungen der Vorinstanz enthielt weder die Eingabe der Bauherrschaft noch die Antwort der BVU ein Novum. Diese Schreiben waren daher nicht geeignet, den Entscheid zu beeinflussen (oben E. 2.2). Weil das BVU keine Gerichtsbehörde im Sinne von Art. 6 Ziff. 1 EMRK ist, war es nicht verpflichtet, dem Beschwerdeführer hierzu ein Replikrecht zu gewähren. Aus dem Umstand, dass gemäss dem "Merkblatt über das Beschwerdeverfahren vor dem Regierungsrat" vor dieser Behörde ein unbedingtes Replikrecht gilt, kann nicht abgeleitet werden, ein solches bestehe in sämtlichen Verwaltungsverfahren. Dass der Beschwerdeführer - aufgrund einer anscheinend fehlerhaften Rechtsmittelbelehrung - zunächst beim Regierungsrat Beschwerde erhob und dieser sie in der Folge zuständigkeitshalber an das BVU überwies, vermag daran nichts zu ändern.</w:t>
      </w:r>
    </w:p>
    <w:p>
      <w:r>
        <w:t>Nach dem Gesagten hatte der Beschwerdeführer im Verfahren vor dem BVU kein Recht auf Stellungnahme zum Gesuch um vorzeitige Baufreigabe. Deshalb hat dieses seinen Gehörsanspruch nicht verletzt, indem es ihm das Gesuch nur zur Kenntnisnahme zustellte. Folglich ist aus diesem Blickwinkel nicht zu beanstanden, dass die Vorinstanz dem Beschwerdeführer die unentgeltliche Rechtspflege für die Rückweisung des Baugesuchs wegen Aussichtslosigkeit verweigerte.</w:t>
      </w:r>
    </w:p>
    <w:p>
      <w:r>
        <w:rPr>
          <w:b/>
        </w:rPr>
        <w:t>E. 3</w:t>
      </w:r>
    </w:p>
    <w:p>
      <w:r>
        <w:t>Die Beschwerde erweist sich als unbegründet und ist abzuweisen. Da sie einzig auf dem nicht gegebenen Replikrecht des Beschwerdeführers zum Gesuch um vorzeitige Baufreigabe beruht, ist sie ebenfalls als aussichtslos zu beurteilen. Demnach ist sein Gesuch um unentgeltliche Rechtspflege und Verbeiständung für das bundesgerichtliche Verfahren abzuweisen und sind ihm reduzierte Gerichtskosten aufzuerlegen ( Art. 64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