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1C_221/2013 vom 13. November 2013</w:t>
      </w:r>
    </w:p>
    <w:p>
      <w:r>
        <w:t>Bundesgericht, 2013-11-13, DE</w:t>
      </w:r>
    </w:p>
    <w:p>
      <w:r>
        <w:rPr>
          <w:b/>
        </w:rPr>
        <w:t xml:space="preserve">Quelle: </w:t>
      </w:r>
      <w:r>
        <w:t>https://mcp.opencaselaw.ch/entscheid/bger_1C_221_2013</w:t>
      </w:r>
    </w:p>
    <w:p>
      <w:r>
        <w:t>FR: TF 1C_221/2013 du 13 novembre 2013</w:t>
      </w:r>
    </w:p>
    <w:p>
      <w:r>
        <w:t>IT: TF 1C_221/2013 del 13 novembre 2013</w:t>
      </w:r>
    </w:p>
    <w:p>
      <w:pPr>
        <w:pStyle w:val="Heading2"/>
      </w:pPr>
      <w:r>
        <w:t>Erwägungen</w:t>
      </w:r>
    </w:p>
    <w:p>
      <w:r>
        <w:rPr>
          <w:b/>
        </w:rPr>
        <w:t>E. 1</w:t>
      </w:r>
    </w:p>
    <w:p>
      <w:r>
        <w:t>Die Beschwerden und die ihnen zugrunde liegenden Urteile des Verwaltungsgerichts betreffen dasselbe Bauvorhaben und es stellen sich dieselben Rechtsfragen. Es ist gerechtfertigt, die beiden Beschwerden in einem Urteil zu behandeln.</w:t>
      </w:r>
    </w:p>
    <w:p>
      <w:r>
        <w:rPr>
          <w:b/>
        </w:rPr>
        <w:t>E. 2</w:t>
      </w:r>
    </w:p>
    <w:p>
      <w:r>
        <w:t>Dem vorliegenden Beschwerdeverfahren liegt das Baugesuch der Beschwerdegegner vom 16. November 2012 zugrunde. Da dieses Baugesuch nicht förmlich zurückgezogen wurde, ist die Baubewilligung nicht hinfällig geworden; insofern hat die Beschwerdeführerin noch ein aktuelles Rechtsschutzinteresse an der Beurteilung der vorliegenden Beschwerden. Auf diese ist somit einzutreten.</w:t>
      </w:r>
    </w:p>
    <w:p>
      <w:r>
        <w:rPr>
          <w:b/>
        </w:rPr>
        <w:t>E. 3</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und die Gemeinde Disentis/Mustér haben somit die Einsprachebefugnis der Beschwerdeführerin zu Unrecht verneint.</w:t>
      </w:r>
    </w:p>
    <w:p>
      <w:r>
        <w:rPr>
          <w:b/>
        </w:rPr>
        <w:t>E. 4</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hin aufzuheben sind.</w:t>
      </w:r>
    </w:p>
    <w:p>
      <w:r>
        <w:rPr>
          <w:b/>
        </w:rPr>
        <w:t>E. 5</w:t>
      </w:r>
    </w:p>
    <w:p>
      <w:r>
        <w:t>Nach dem Gesagten steht fest, dass die angefochtenen Entscheide aufzuheben sind. Fraglich ist, ob die Sache an das Verwaltungsgericht oder - unter Mitaufhebung des Einspracheentscheids und der Baubewilligung - an die erste Instanz, d.h. an die Gemeinde, zurückzuweisen ist ( Art. 107 Abs. 2 BGG ).</w:t>
      </w:r>
    </w:p>
    <w:p>
      <w:r>
        <w:t>Für letztere Lösung spricht der Umstand, dass die Gemeinde zu Unrecht auf die Einsprache der Helvetia Nostra nicht eingetreten ist, sich also noch nicht mit deren Einwänden befasst hat. Hinzu kommt, dass bereits feststeht, dass das Baugesuch in der ursprünglichen Form gegen Art. 75b BV verstösst und nicht bewilligt werden kann. Zwar möchten die Beschwerdegegner das geplante Wohnhaus nunmehr mit Erstwohnungen ausstatten. Dies setzt jedoch eine Änderung des Baugesuchs voraus, zu welcher der Helvetia Nostra und allfälligen weiteren Interessierten im Einspracheverfahren das rechtliche Gehör gewährt werden muss.</w:t>
      </w:r>
    </w:p>
    <w:p>
      <w:r>
        <w:t>Unter diesen Umständen erscheint es sinnvoll, in Gutheissung des Eventualantrags der Beschwerdeführerin den Einspracheentscheid und die Baubewilligung mitaufzuheben und die Sache an die Gemeinde zurückzuweisen. Diese hat die Kosten des bisherigen Bau- und Einspracheverfahrens neu zu verlegen.</w:t>
      </w:r>
    </w:p>
    <w:p>
      <w:r>
        <w:rPr>
          <w:b/>
        </w:rPr>
        <w:t>E. 6</w:t>
      </w:r>
    </w:p>
    <w:p>
      <w:r>
        <w:t>Bei diesem Ausgang des Verfahrens obsiegt die Beschwerdeführerin. Die privaten Beschwerdegegner werden daher kostenpflichtig, und zwar sowohl für das bundesgerichtliche Verfahren ( Art 66 BGG ) als auch für das Verfahren vor Verwaltungsgericht ( Art. 67 BGG ).</w:t>
      </w:r>
    </w:p>
    <w:p>
      <w:r>
        <w:t>Die Beschwerdeführerin war weder vor Verwaltungsgericht noch vor Bundesgericht anwaltlich vertreten, weshalb sie praxisgemäss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