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1C_220/2008 vom 19. Juni 2008</w:t>
      </w:r>
    </w:p>
    <w:p>
      <w:r>
        <w:t>Bundesgericht, 2008-06-19, DE</w:t>
      </w:r>
    </w:p>
    <w:p>
      <w:r>
        <w:rPr>
          <w:b/>
        </w:rPr>
        <w:t xml:space="preserve">Quelle: </w:t>
      </w:r>
      <w:r>
        <w:t>https://mcp.opencaselaw.ch/entscheid/bger_1C_220_2008</w:t>
      </w:r>
    </w:p>
    <w:p>
      <w:r>
        <w:t>FR: TF 1C_220/2008 du 19 juin 2008</w:t>
      </w:r>
    </w:p>
    <w:p>
      <w:r>
        <w:t>IT: TF 1C_220/2008 del 19 giugno 2008</w:t>
      </w:r>
    </w:p>
    <w:p>
      <w:pPr>
        <w:pStyle w:val="Heading2"/>
      </w:pPr>
      <w:r>
        <w:t>Erwägungen</w:t>
      </w:r>
    </w:p>
    <w:p>
      <w:r>
        <w:rPr>
          <w:b/>
        </w:rPr>
        <w:t>E. 1</w:t>
      </w:r>
    </w:p>
    <w:p>
      <w:r>
        <w:t>Die vorliegende Beschwerde richtet sich gegen einen Entscheid in öffentlich-rechtlichen Angelegenheiten ( Art. 82 lit. a BGG ) des Bundesverwaltungsgerichts ( Art. 86 Abs. 1 lit. a BGG ). Die Ausnahme der ordentlichen Einbürgerungen gemäss Art. 83 lit. b BGG erstreckt sich nicht auf die Nichtigerklärung der Einbürgerung. Es sind auch keine weiteren Ausnahmen vom Beschwerderecht gemäss Art. 83 BGG gegeben. Auf die Beschwerde ist einzutreten.</w:t>
      </w:r>
    </w:p>
    <w:p>
      <w:r>
        <w:rPr>
          <w:b/>
        </w:rPr>
        <w:t>E. 2</w:t>
      </w:r>
    </w:p>
    <w:p>
      <w:r>
        <w:t>Die Vorinstanzen sind der Ansicht, der Beschwerdeführer sei die Ehe vom 15. Dezember 1995 primär eingegangen, um das Schweizer Bürgerrecht zu erhalten, und er habe dies im Einbürgerungsverfahren verschwiegen. Rund sieben Monate nachdem er das Schweizer Bürgerrecht erlangt habe, habe er bereits das Scheidungsbegehren eingereicht. Seine Glaubwürdigkeit sei erschüttert, da er im Asylgesuch vom 6. November 1992 eine andere Identität angegeben habe. Unglaubwürdig sei auch, dass der Scheidungsgrund des unerfüllten Kinderwunsches erst nach der erleichterten Einbürgerung bedeutsam geworden sei. Der Beschwerdeführer habe um diesen Umstand schon früher gewusst, weil die damalige Ehefrau um 19 Jahre älter sei und sich 2000/2001 einer Unterleibsoperation unterzogen habe, weswegen sie keine Kinder mehr bekommen konnte. Ein weiteres Indiz sei die relativ rasche Wiederverheiratung mit einer Frau aus dem Libanon im Juli 2003, rund ein Jahr nach der Scheidung. Zweifel am Zweck der Ehe seien auch berechtigt, weil der Beschwerdeführer am 24. März 2000 ein verfrühtes Gesuch um erleichterte Einbürgerung gestellt habe. Diese Umstände zeigten, dass der Beschwerdeführer die Ehe mit der Schweizerin aus zweckfremden Motiven geführt habe. Der Wille, eine eheliche Gemeinschaft aufrechtzuerhalten, sei bereits im Zeitpunkt der Erklärung vom 16. Juni 2001 nicht mehr intakt gewesen.</w:t>
      </w:r>
    </w:p>
    <w:p>
      <w:r>
        <w:rPr>
          <w:b/>
        </w:rPr>
        <w:t>E. 3</w:t>
      </w:r>
    </w:p>
    <w:p>
      <w:r>
        <w:t>Der Beschwerdeführer kritisiert die Würdigung der Umstände durch das Bundesverwaltungsgericht. Es sei nicht haltbar bzw. ungenügend begründet, wenn der fehlende Ehewille auf das verfrühte Einreichen des Einbürgerungsgesuchs zurückgeführt werde. Die Einreichung des Scheidungsbegehrens sieben Monate nach der Einbürgerung weise angesichts der heutigen Situation zwischenmenschlichen Zusammenlebens und der Scheidungsstatistiken nicht auf einen fehlenden Ehewillen im Zeitpunkt der Einbürgerung hin. Heute könnten sich Ehegatten innert eines halben Jahres derart auseinanderleben, dass die Ehe geschieden werden müsse. Der Beschwerdeführer habe seinen Entschluss bei Diskussionen mit der Ehefrau im Herbst 2001 gefasst, da sie ihm kein glückliches Familien- und Sexualleben mehr habe bieten können. Zudem nenne die Vorinstanz keine zureichenden Gründe für ein planmässiges Vorgehen des Beschwerdeführers zur Erschleichung des Schweizer Bürgerrechts. Der Beschwerdeführer habe ein Geschäft gegründet, und er fühle sich in der Schweiz zuhause.</w:t>
      </w:r>
    </w:p>
    <w:p>
      <w:r>
        <w:rPr>
          <w:b/>
        </w:rPr>
        <w:t>E. 4</w:t>
      </w:r>
    </w:p>
    <w:p>
      <w:r>
        <w:t>Nach dem Bürgerrechtsgesetz (BüG, SR 141.0) setzt die erleichterte Einbürgerung namentlich voraus, dass der ausländische Bewerber insgesamt fünf Jahre in der Schweiz gewohnt hat, seit einem Jahr hier wohnt und seit drei Jahren in ehelicher Gemeinschaft mit einer Schweizer Bürgerin lebt ( Art. 27 Abs. 1 BüG ).</w:t>
      </w:r>
    </w:p>
    <w:p>
      <w:r>
        <w:t>Gemäss Art. 41 Abs. 1 BüG kann die erleichterte Einbürgerung vom Bundesamt mit Zustimmung der Behörde des Heimatkantons innert fünf Jahren nichtig erklärt werden, wenn sie durch falsche Angaben oder Verheimlichung erheblicher Tatsachen erschlichen worden ist.</w:t>
      </w:r>
    </w:p>
    <w:p>
      <w:r>
        <w:rPr>
          <w:b/>
        </w:rPr>
        <w:t>E. 5</w:t>
      </w:r>
    </w:p>
    <w:p>
      <w:r>
        <w:t>Zum Einwand, das verfrüht gestellte Einbürgerungsgesuch tauge nicht als genügende Begründung, ist auf das Gesamtbild zu verweisen. Es handelt sich um einen von mehreren Hinweisen dafür, dass der Beschwerdeführer den Zweck seiner Ehe in der raschen Erlangung des Schweizer Bürgerrechts erblickte. Das verfrüht gestellte Gesuch darf - unter anderen Hinweisen - als Beleg dafür verwendet werden, dass er möglichst rasch das Schweizer Bürgerrecht erlangen wollte.</w:t>
      </w:r>
    </w:p>
    <w:p>
      <w:r>
        <w:t>Zum Einwand, wonach Ehen heute schneller und häufiger geschieden würden, ist auf die Rechtsprechung zu verweisen. Eine eheliche Gemeinschaft im Sinne des Bürgerrechtsgesetzes beurteilt sich nicht nach den Statistiken. Nach der Rechtsprechung setzt eine solche eheliche Gemeinschaft nicht nur das formelle Bestehen einer Ehe, sondern das Vorliegen einer tatsächlichen Lebensgemeinschaft voraus. Eine solche Gemeinschaft kann nur bejaht werden, wenn der gemeinsame Wille zu einer stabilen ehelichen Gemeinschaft intakt ist. Ein Hinweis auf den fehlenden Willen der Ehegatten, die eheliche Gemeinschaft aufrechtzuerhalten,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S. 99).</w:t>
      </w:r>
    </w:p>
    <w:p>
      <w:r>
        <w:t>Insgesamt liegen genügend objektive Elemente vor, die den Schluss erlauben, der Beschwerdeführer sei die Ehe von 1995 primär zur Erlangung des Schweizer Bürgerrechts eingegangen. Die Ehescheidung wurde bereits rund sieben Monate nach der Einbürgerung eingeleitet, und es gibt weitere Hinweise, dass es an gemeinsamen Zukunftsaussichten fehlte. Es darf ohne Bundesrechtsverletzung angenommen werden, dass es bereits während des Gesuchsverfahrens am Willen fehlte, die Ehe nach der Einbürgerung fortzuführen, und dass die Behörden insoweit über die Willenslage getäuscht wurden. Die Beschwerde ist unbegründet.</w:t>
      </w:r>
    </w:p>
    <w:p>
      <w:r>
        <w:rPr>
          <w:b/>
        </w:rPr>
        <w:t>E. 6</w:t>
      </w:r>
    </w:p>
    <w:p>
      <w:r>
        <w:t>Die Beschwerde ist nach dem Gesagten abzuweisen. Da sie im Sinne von Art. 64 Abs. 1 BGG aussichtslos ist, kann das Gesuch um unentgeltliche Rechtspflege und Verbeiständung nicht bewilligt werden. Demnach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