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1C_21/2020 vom 23. März 2021</w:t>
      </w:r>
    </w:p>
    <w:p>
      <w:r>
        <w:t>Bundesgericht, 2021-03-23, FR</w:t>
      </w:r>
    </w:p>
    <w:p>
      <w:r>
        <w:rPr>
          <w:b/>
        </w:rPr>
        <w:t xml:space="preserve">Quelle: </w:t>
      </w:r>
      <w:r>
        <w:t>https://mcp.opencaselaw.ch/entscheid/bger_1C_21_2020</w:t>
      </w:r>
    </w:p>
    <w:p>
      <w:r>
        <w:t>FR: TF 1C_21/2020 du 23 mars 2021</w:t>
      </w:r>
    </w:p>
    <w:p>
      <w:r>
        <w:t>IT: TF 1C_21/2020 del 23 marzo 2021</w:t>
      </w:r>
    </w:p>
    <w:p>
      <w:pPr>
        <w:pStyle w:val="Heading2"/>
      </w:pPr>
      <w:r>
        <w:t>Erwägungen</w:t>
      </w:r>
    </w:p>
    <w:p>
      <w:r>
        <w:rPr>
          <w:b/>
        </w:rPr>
        <w:t>E. 1</w:t>
      </w:r>
    </w:p>
    <w:p>
      <w:r>
        <w:t>Le recours est dirigé directement contre un acte que la recourante qualifie d'ordonnance administrative. Il serait recevable à condition que cet acte puisse être considéré comme un acte normatif au sens de l' art. 82 let. b LTF . Compte tenu de la réponse apportée à cette question (consid. 2), il n'y a pas lieu de s'interroger sur la qualité pour agir de la recourante, ni sur son intérêt actuel au recours, compte tenu de la levée du gel des dérogations, envisagée par le DT dans un communiqué du 20 juin 2020, et de la modification législative entrée en vigueur le 28 novembre 2020. Compte tenu de l'arrêt rendu par la Chambre constitutionnelle, contre lequel la recourante a renoncé à recourir, il n'existe pas de voie de recours cantonale au sens de l' art. 87 al. 1 LTF .</w:t>
      </w:r>
    </w:p>
    <w:p>
      <w:r>
        <w:rPr>
          <w:b/>
        </w:rPr>
        <w:t>E. 2</w:t>
      </w:r>
    </w:p>
    <w:p>
      <w:r>
        <w:t>La recourante considère que la mesure annoncée le 28 novembre 2019 constituerait une ordonnance administrative déployant des effets externes: il s'agirait d'une instruction à l'intention des chefs de service de l'Office cantonal des autorisations de construire, leur ordonnant de ne plus accorder de dérogations. Cette mesure déploierait des effets directs sur la situation juridique de la recourante puisqu'elle l'empêcherait d'obtenir des dérogations en zone villas et la priverait ainsi d'une grande part de ses revenus. La recourante relève qu'en tant que bureau d'architectes, elle n'aurait pas qualité pour agir contre un refus d'autorisation de construire et ne pourrait obtenir ou contester une décision rendue à ce propos.</w:t>
      </w:r>
    </w:p>
    <w:p>
      <w:r>
        <w:rPr>
          <w:b/>
        </w:rPr>
        <w:t>E. 2.1</w:t>
      </w:r>
    </w:p>
    <w:p>
      <w:r>
        <w:t>Selon l' art. 82 let. b LTF , le recours en matière de droit public est ouvert à l'encontre des actes normatifs cantonaux. La notion d'acte normatif correspond à celle d'arrêté cantonal qui prévalait sous l'empire de l'ancienne loi fédérale d'organisation judiciaire du 16 décembre 1943 (art. 84 aOJ). Il s'agit d'un acte général (destiné à s'appliquer à un nombre indéterminé de personnes) et abstrait (se rapportant à un nombre indéterminé de situations) qui affecte d'une façon quelconque la situation juridique des particuliers, notamment en leur imposant une obligation de faire, de s'abstenir ou de tolérer ou en réglant de toute autre manière et de façon obligatoire leur relation avec l'Etat, ou encore qui a trait à l'organisation des autorités ( ATF 136 II 415 consid. 1.1; 135 II 328 consid. 2.1; 121 I 42 consid. 2a; 173 consid. 2a).</w:t>
      </w:r>
    </w:p>
    <w:p>
      <w:r>
        <w:rPr>
          <w:b/>
        </w:rPr>
        <w:t>E. 2.2</w:t>
      </w:r>
    </w:p>
    <w:p>
      <w:r>
        <w:t>Ne sont en revanche pas considérées comme actes normatifs les ordonnances administratives. Il s'agit d'actes servant à régler le fonctionnement de l'administration, destinés aux employés et services de l'Etat. Elles peuvent régir l'organisation et l'exécution des tâches de l'administration, ou viser à une application uniforme du droit en agissant sur l'exercice du pouvoir d'appréciation et l'application de dispositions contenant des notions juridiques indéterminées ( ATF 128 I 167 consid. 4.3). En vertu de la jurisprudence, une ordonnance administrative peut toutefois exceptionnellement être attaquée par la voie du recours en matière de droit public lorsque, d'une part, elle déploie des effets externes - c'est-à-dire qu'elle porte atteinte au moins indirectement à la position juridique des administrés - et que, d'autre part, son application ne peut pas se traduire dans une décision formelle contre laquelle l'administré pourrait recourir de manière efficace et raisonnable en invoquant ses droits fondamentaux ( ATF 136 II 415 consid. 1.1; 128 I 167 c. 4.3; 125 I 313 consid. 2a; 122 I 44 consid. 2a; arrêt 2C_613/2015 du 7 mars 2017 consid. 2.2.1).</w:t>
      </w:r>
    </w:p>
    <w:p>
      <w:r>
        <w:rPr>
          <w:b/>
        </w:rPr>
        <w:t>E. 2.3</w:t>
      </w:r>
    </w:p>
    <w:p>
      <w:r>
        <w:t>Selon la teneur essentielle du communiqué du 28 novembre 2019, le DT déclare qu'il n'accordera plus de dérogations pour les projets de densification en zone villas au sens de l'art. 59 al. 4 LCI. Cette communication n'est pas adressée aux services subordonnés de l'administration puisque c'est le DT lui-même qui est compétent pour accorder les dérogations en question. Davantage qu'une directive, l'acte en question est une information sur la manière dont sera à l'avenir appliquée la disposition cantonale. Les justiciables sont ainsi informés d'un changement de pratique d'ores et déjà décidé par l'autorité compétente. Si le DT a décidé, pour des motifs de prévisibilité et de transparence, de publier une telle information, la volonté de l'autorité de changer sa propre pratique ne paraît pas constituer en tant que telle un acte assimilable à un acte normatif attaquable.</w:t>
      </w:r>
    </w:p>
    <w:p>
      <w:r>
        <w:t>La question peut toutefois demeurer indécise - comme l'a également estimé la cour cantonale -, car la seconde condition posée par la jurisprudence pour admettre un recours contre une ordonnance administrative n'est, de toute façon, à l'évidence pas satisfaite.</w:t>
      </w:r>
    </w:p>
    <w:p>
      <w:r>
        <w:rPr>
          <w:b/>
        </w:rPr>
        <w:t>E. 2.4</w:t>
      </w:r>
    </w:p>
    <w:p>
      <w:r>
        <w:t>En effet, un refus du département cantonal d'accorder une dérogation sur la base de l'art. 59 al. 4 LCI, en vertu de sa nouvelle pratique, est évidemment susceptible de faire l'objet d'un recours auprès du Tribunal administratif de première instance conformément à l'art. 145 LCI, puis de la Chambre administrative de la Cour de justice (art. 149 LCI). Il en va de même de tout refus ou retard à statuer sur ce point (art. 4 al. 4 de la loi genevoise sur la procédure administrative - LPA, RS/GE E 5 10), de sorte que les justiciables disposent d'une protection juridique immédiate et efficace, y compris le cas échéant jusqu'au Tribunal fédéral. La recourante relève qu'il ne serait pas raisonnable d'exiger du justiciable qu'il dépose une demande d'autorisation vouée d'emblée à l'échec. Il n'en demeure pas moins qu'une protection juridique suffisante est à disposition des particuliers ayant déposé une demande de dérogation, ou ayant l'intention de le faire. Il n'est pas non plus déterminant que la recourante, en tant que prestataire de services, n'ait pas qualité pour recourir contre un éventuel refus. Le cas échéant, un recours pourrait être déposé par l'un de ses mandants destinataire d'une décision de refus, ce qui satisfait à l'exigence d'un recours concret effectif.</w:t>
      </w:r>
    </w:p>
    <w:p>
      <w:r>
        <w:rPr>
          <w:b/>
        </w:rPr>
        <w:t>E. 3</w:t>
      </w:r>
    </w:p>
    <w:p>
      <w:r>
        <w:t>Les conditions restrictives posées pour un contrôle d'une ordonnance administrative n'étant pas réunies, le recours est irrecevable.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