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1C_21/2017 vom 19. Januar 2017</w:t>
      </w:r>
    </w:p>
    <w:p>
      <w:r>
        <w:t>Bundesgericht, 2017-01-19, DE</w:t>
      </w:r>
    </w:p>
    <w:p>
      <w:r>
        <w:rPr>
          <w:b/>
        </w:rPr>
        <w:t xml:space="preserve">Quelle: </w:t>
      </w:r>
      <w:r>
        <w:t>https://mcp.opencaselaw.ch/entscheid/bger_1C_21_2017</w:t>
      </w:r>
    </w:p>
    <w:p>
      <w:r>
        <w:t>FR: TF 1C_21/2017 du 19 janvier 2017</w:t>
      </w:r>
    </w:p>
    <w:p>
      <w:r>
        <w:t>IT: TF 1C_21/2017 del 19 gennaio 2017</w:t>
      </w:r>
    </w:p>
    <w:p>
      <w:pPr>
        <w:pStyle w:val="Heading2"/>
      </w:pPr>
      <w:r>
        <w:t>Erwägungen</w:t>
      </w:r>
    </w:p>
    <w:p>
      <w:r>
        <w:rPr>
          <w:b/>
        </w:rPr>
        <w:t>E. 1</w:t>
      </w:r>
    </w:p>
    <w:p>
      <w:r>
        <w:t>Der Gemeinderat Knonau ordnete gegenüber A.________ mit Beschluss vom 24. November 2015 zum wiederholten Mal unter Androhung von Ersatzvornahme die Wiederherstellung des rechtmässigen Zustandes auf dem Grundstück Nr. xxx in Knonau an. Auf den dagegen von A.________ erhobenen Rekurs trat das Baurekursgericht des Kantons Zürich mit Entscheid vom 12. Januar 2016 nicht ein. Gegen den Nichteintretensentscheid erhob A.________ am 12. Februar 2016 Beschwerde, welche das Verwaltungsgericht des Kantons Zürich am 17. März 2016 guthiess, den Rekursentscheid aufhob und die Sache an das Baurekursgericht zurückwies. Mit Entscheid vom 27. September 2016 wies das Baurekursgericht den Rekurs ab, soweit es darauf eintrat. Dagegen erhob A.________ am 27. Oktober 2016 Beschwerde, welche das Verwaltungsgericht des Kantons Zürich mit Urteil vom 1. Dezember 2016 abwies.</w:t>
      </w:r>
    </w:p>
    <w:p>
      <w:r>
        <w:rPr>
          <w:b/>
        </w:rPr>
        <w:t>E. 2</w:t>
      </w:r>
    </w:p>
    <w:p>
      <w:r>
        <w:t>A.________ führt mit Eingabe vom 12. Januar 2017 (Postaufgabe 13. Januar 2017) Beschwerde in öffentlich-rechtlichen Angelegenheiten gegen das Urteil des Verwaltungsgerichts des Kantons Zürich.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des Verwaltungsgerichts, die zur Abweisung seiner Beschwerde führte, überhaupt nicht auseinander und vermag mit der Darlegung seiner Sicht der Dinge nicht aufzuzeigen, inwiefern die Begründung des Verwaltungsgerichts bzw. dessen Urteil selbst rechts- bzw. verfassungswidrig sein soll.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